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7F" w:rsidRPr="00011552" w:rsidRDefault="006F177F" w:rsidP="00550C41">
      <w:pPr>
        <w:pStyle w:val="NoSpacing"/>
        <w:shd w:val="clear" w:color="auto" w:fill="FFFFFF" w:themeFill="background1"/>
        <w:jc w:val="center"/>
        <w:rPr>
          <w:rFonts w:ascii="Times New Roman" w:hAnsi="Times New Roman" w:cs="Times New Roman"/>
          <w:b/>
          <w:sz w:val="24"/>
          <w:szCs w:val="24"/>
        </w:rPr>
      </w:pPr>
      <w:r w:rsidRPr="00011552">
        <w:rPr>
          <w:rFonts w:ascii="Times New Roman" w:hAnsi="Times New Roman" w:cs="Times New Roman"/>
          <w:b/>
          <w:sz w:val="24"/>
          <w:szCs w:val="24"/>
        </w:rPr>
        <w:t xml:space="preserve">Post-Sale Duty to Warn: Restatement (Third) of </w:t>
      </w:r>
      <w:r w:rsidR="00513E25" w:rsidRPr="00011552">
        <w:rPr>
          <w:rFonts w:ascii="Times New Roman" w:hAnsi="Times New Roman" w:cs="Times New Roman"/>
          <w:b/>
          <w:sz w:val="24"/>
          <w:szCs w:val="24"/>
        </w:rPr>
        <w:t xml:space="preserve">Torts: </w:t>
      </w:r>
      <w:r w:rsidRPr="00011552">
        <w:rPr>
          <w:rFonts w:ascii="Times New Roman" w:hAnsi="Times New Roman" w:cs="Times New Roman"/>
          <w:b/>
          <w:sz w:val="24"/>
          <w:szCs w:val="24"/>
        </w:rPr>
        <w:t>Products Liability §10 (1998)</w:t>
      </w:r>
    </w:p>
    <w:p w:rsidR="006F177F" w:rsidRPr="00011552" w:rsidRDefault="006F177F" w:rsidP="00550C41">
      <w:pPr>
        <w:pStyle w:val="NoSpacing"/>
        <w:shd w:val="clear" w:color="auto" w:fill="FFFFFF" w:themeFill="background1"/>
        <w:jc w:val="center"/>
        <w:rPr>
          <w:rFonts w:ascii="Times New Roman" w:hAnsi="Times New Roman" w:cs="Times New Roman"/>
          <w:b/>
          <w:sz w:val="24"/>
          <w:szCs w:val="24"/>
        </w:rPr>
      </w:pPr>
      <w:r w:rsidRPr="00011552">
        <w:rPr>
          <w:rFonts w:ascii="Times New Roman" w:hAnsi="Times New Roman" w:cs="Times New Roman"/>
          <w:b/>
          <w:sz w:val="24"/>
          <w:szCs w:val="24"/>
        </w:rPr>
        <w:t>Twenty Years Later</w:t>
      </w:r>
    </w:p>
    <w:p w:rsidR="006F177F" w:rsidRPr="009E39C0" w:rsidRDefault="006F177F" w:rsidP="006F177F">
      <w:pPr>
        <w:pStyle w:val="NoSpacing"/>
        <w:jc w:val="center"/>
        <w:rPr>
          <w:rFonts w:ascii="Times New Roman" w:hAnsi="Times New Roman" w:cs="Times New Roman"/>
          <w:sz w:val="24"/>
          <w:szCs w:val="24"/>
        </w:rPr>
      </w:pP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Presentation to Forum for Environmental and Toxic Tort Issues</w:t>
      </w:r>
    </w:p>
    <w:p w:rsidR="006F177F"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September 27, 2018</w:t>
      </w:r>
    </w:p>
    <w:p w:rsidR="00191202" w:rsidRPr="009E39C0" w:rsidRDefault="00191202" w:rsidP="006F177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Chicago, Illinois </w:t>
      </w:r>
    </w:p>
    <w:p w:rsidR="006F177F" w:rsidRPr="009E39C0" w:rsidRDefault="006F177F" w:rsidP="006F177F">
      <w:pPr>
        <w:pStyle w:val="NoSpacing"/>
        <w:jc w:val="center"/>
        <w:rPr>
          <w:rFonts w:ascii="Times New Roman" w:hAnsi="Times New Roman" w:cs="Times New Roman"/>
          <w:sz w:val="24"/>
          <w:szCs w:val="24"/>
        </w:rPr>
      </w:pP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Thomas D. Jensen</w:t>
      </w: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Molly de la Vega</w:t>
      </w: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Lind Jensen Sullivan &amp; Pete</w:t>
      </w:r>
      <w:r w:rsidR="00550C41" w:rsidRPr="009E39C0">
        <w:rPr>
          <w:rFonts w:ascii="Times New Roman" w:hAnsi="Times New Roman" w:cs="Times New Roman"/>
          <w:sz w:val="24"/>
          <w:szCs w:val="24"/>
        </w:rPr>
        <w:t>r</w:t>
      </w:r>
      <w:r w:rsidRPr="009E39C0">
        <w:rPr>
          <w:rFonts w:ascii="Times New Roman" w:hAnsi="Times New Roman" w:cs="Times New Roman"/>
          <w:sz w:val="24"/>
          <w:szCs w:val="24"/>
        </w:rPr>
        <w:t>son, P.A.</w:t>
      </w: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1300 AT&amp;T Tower</w:t>
      </w: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901 Marquette Avenue South</w:t>
      </w: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Minneapolis, MN 55402</w:t>
      </w:r>
    </w:p>
    <w:p w:rsidR="006F177F" w:rsidRPr="009E39C0" w:rsidRDefault="006F177F" w:rsidP="006F177F">
      <w:pPr>
        <w:pStyle w:val="NoSpacing"/>
        <w:jc w:val="center"/>
        <w:rPr>
          <w:rFonts w:ascii="Times New Roman" w:hAnsi="Times New Roman" w:cs="Times New Roman"/>
          <w:sz w:val="24"/>
          <w:szCs w:val="24"/>
        </w:rPr>
      </w:pPr>
      <w:r w:rsidRPr="009E39C0">
        <w:rPr>
          <w:rFonts w:ascii="Times New Roman" w:hAnsi="Times New Roman" w:cs="Times New Roman"/>
          <w:sz w:val="24"/>
          <w:szCs w:val="24"/>
        </w:rPr>
        <w:t>(612) 333-3637</w:t>
      </w:r>
    </w:p>
    <w:p w:rsidR="006F177F" w:rsidRPr="00D72D4F" w:rsidRDefault="00B53D88" w:rsidP="006F177F">
      <w:pPr>
        <w:pStyle w:val="NoSpacing"/>
        <w:jc w:val="center"/>
        <w:rPr>
          <w:rFonts w:ascii="Times New Roman" w:hAnsi="Times New Roman" w:cs="Times New Roman"/>
          <w:sz w:val="24"/>
          <w:szCs w:val="24"/>
        </w:rPr>
      </w:pPr>
      <w:hyperlink r:id="rId8" w:history="1">
        <w:r w:rsidR="00191202" w:rsidRPr="00D72D4F">
          <w:rPr>
            <w:rStyle w:val="Hyperlink"/>
            <w:rFonts w:ascii="Times New Roman" w:hAnsi="Times New Roman" w:cs="Times New Roman"/>
            <w:color w:val="auto"/>
            <w:sz w:val="24"/>
            <w:szCs w:val="24"/>
          </w:rPr>
          <w:t>thomas.jensen@lindjensen.com</w:t>
        </w:r>
      </w:hyperlink>
    </w:p>
    <w:p w:rsidR="006F177F" w:rsidRPr="002519EC" w:rsidRDefault="00550C41" w:rsidP="006F177F">
      <w:pPr>
        <w:pStyle w:val="NoSpacing"/>
        <w:jc w:val="center"/>
        <w:rPr>
          <w:rFonts w:ascii="Times New Roman" w:hAnsi="Times New Roman" w:cs="Times New Roman"/>
          <w:sz w:val="24"/>
          <w:szCs w:val="24"/>
          <w:u w:val="single"/>
        </w:rPr>
      </w:pPr>
      <w:r w:rsidRPr="002519EC">
        <w:rPr>
          <w:rFonts w:ascii="Times New Roman" w:hAnsi="Times New Roman" w:cs="Times New Roman"/>
          <w:sz w:val="24"/>
          <w:szCs w:val="24"/>
          <w:u w:val="single"/>
        </w:rPr>
        <w:t>molly.delavega@lindjensen.com</w:t>
      </w:r>
    </w:p>
    <w:p w:rsidR="006F177F" w:rsidRPr="009E39C0" w:rsidRDefault="006F177F">
      <w:pPr>
        <w:rPr>
          <w:rFonts w:ascii="Times New Roman" w:hAnsi="Times New Roman" w:cs="Times New Roman"/>
          <w:sz w:val="24"/>
          <w:szCs w:val="24"/>
        </w:rPr>
      </w:pPr>
    </w:p>
    <w:p w:rsidR="00513E25" w:rsidRPr="009E39C0" w:rsidRDefault="000F41DA" w:rsidP="00513E25">
      <w:pPr>
        <w:spacing w:after="0" w:line="240" w:lineRule="auto"/>
        <w:jc w:val="both"/>
        <w:rPr>
          <w:rFonts w:ascii="Times New Roman" w:hAnsi="Times New Roman" w:cs="Times New Roman"/>
          <w:sz w:val="24"/>
          <w:szCs w:val="24"/>
        </w:rPr>
      </w:pPr>
      <w:r w:rsidRPr="009E39C0">
        <w:rPr>
          <w:rFonts w:ascii="Times New Roman" w:hAnsi="Times New Roman" w:cs="Times New Roman"/>
          <w:sz w:val="24"/>
          <w:szCs w:val="24"/>
        </w:rPr>
        <w:t>With increasingly widespread acceptance, the post-sale duty of reasonable care to warn is spreading b</w:t>
      </w:r>
      <w:r w:rsidR="00A92107" w:rsidRPr="009E39C0">
        <w:rPr>
          <w:rFonts w:ascii="Times New Roman" w:hAnsi="Times New Roman" w:cs="Times New Roman"/>
          <w:sz w:val="24"/>
          <w:szCs w:val="24"/>
        </w:rPr>
        <w:t>roadly across the land.  David G</w:t>
      </w:r>
      <w:r w:rsidRPr="009E39C0">
        <w:rPr>
          <w:rFonts w:ascii="Times New Roman" w:hAnsi="Times New Roman" w:cs="Times New Roman"/>
          <w:sz w:val="24"/>
          <w:szCs w:val="24"/>
        </w:rPr>
        <w:t xml:space="preserve">. Owen &amp; Mary J. Davis, </w:t>
      </w:r>
      <w:r w:rsidRPr="00191202">
        <w:rPr>
          <w:rFonts w:ascii="Times New Roman" w:hAnsi="Times New Roman" w:cs="Times New Roman"/>
          <w:i/>
          <w:sz w:val="24"/>
          <w:szCs w:val="24"/>
        </w:rPr>
        <w:t>Products Liability,</w:t>
      </w:r>
      <w:r w:rsidRPr="009E39C0">
        <w:rPr>
          <w:rFonts w:ascii="Times New Roman" w:hAnsi="Times New Roman" w:cs="Times New Roman"/>
          <w:sz w:val="24"/>
          <w:szCs w:val="24"/>
        </w:rPr>
        <w:t xml:space="preserve"> §10:24 (2014).</w:t>
      </w:r>
      <w:r w:rsidR="000336E5" w:rsidRPr="009E39C0">
        <w:rPr>
          <w:rFonts w:ascii="Times New Roman" w:hAnsi="Times New Roman" w:cs="Times New Roman"/>
          <w:sz w:val="24"/>
          <w:szCs w:val="24"/>
        </w:rPr>
        <w:t xml:space="preserve">  </w:t>
      </w:r>
      <w:r w:rsidR="0099264C" w:rsidRPr="009E39C0">
        <w:rPr>
          <w:rFonts w:ascii="Times New Roman" w:hAnsi="Times New Roman" w:cs="Times New Roman"/>
          <w:sz w:val="24"/>
          <w:szCs w:val="24"/>
        </w:rPr>
        <w:t xml:space="preserve">Although states apply the doctrine differently, the vast majority of courts recognizing post-sale failure to warn claims agree that a claim arises when the manufacturer or seller becomes aware that a product is defective or unreasonably dangerous after the point of sale and fails to take reasonable steps to warn consumers who purchased the product.  </w:t>
      </w:r>
      <w:r w:rsidR="0099264C" w:rsidRPr="00191202">
        <w:rPr>
          <w:rFonts w:ascii="Times New Roman" w:hAnsi="Times New Roman" w:cs="Times New Roman"/>
          <w:i/>
          <w:sz w:val="24"/>
          <w:szCs w:val="24"/>
        </w:rPr>
        <w:t>Fox v. Amazon.com, Inc.,</w:t>
      </w:r>
      <w:r w:rsidR="0099264C" w:rsidRPr="009E39C0">
        <w:rPr>
          <w:rFonts w:ascii="Times New Roman" w:hAnsi="Times New Roman" w:cs="Times New Roman"/>
          <w:sz w:val="24"/>
          <w:szCs w:val="24"/>
        </w:rPr>
        <w:t xml:space="preserve"> </w:t>
      </w:r>
      <w:r w:rsidR="00003064" w:rsidRPr="009E39C0">
        <w:rPr>
          <w:rFonts w:ascii="Times New Roman" w:hAnsi="Times New Roman" w:cs="Times New Roman"/>
          <w:sz w:val="24"/>
          <w:szCs w:val="24"/>
        </w:rPr>
        <w:t xml:space="preserve">2018 WL 2431628 *9 </w:t>
      </w:r>
      <w:r w:rsidR="0099264C" w:rsidRPr="009E39C0">
        <w:rPr>
          <w:rFonts w:ascii="Times New Roman" w:hAnsi="Times New Roman" w:cs="Times New Roman"/>
          <w:sz w:val="24"/>
          <w:szCs w:val="24"/>
        </w:rPr>
        <w:t>(M.D. Tenn. May 30, 2018) (citing cases)</w:t>
      </w:r>
      <w:r w:rsidR="00C55CF8">
        <w:rPr>
          <w:rFonts w:ascii="Times New Roman" w:hAnsi="Times New Roman" w:cs="Times New Roman"/>
          <w:sz w:val="24"/>
          <w:szCs w:val="24"/>
        </w:rPr>
        <w:t xml:space="preserve">, </w:t>
      </w:r>
      <w:r w:rsidR="00C55CF8" w:rsidRPr="00C55CF8">
        <w:rPr>
          <w:rFonts w:ascii="Times New Roman" w:hAnsi="Times New Roman" w:cs="Times New Roman"/>
          <w:i/>
          <w:sz w:val="24"/>
          <w:szCs w:val="24"/>
        </w:rPr>
        <w:t>appeal pending</w:t>
      </w:r>
      <w:r w:rsidR="0099264C" w:rsidRPr="009E39C0">
        <w:rPr>
          <w:rFonts w:ascii="Times New Roman" w:hAnsi="Times New Roman" w:cs="Times New Roman"/>
          <w:sz w:val="24"/>
          <w:szCs w:val="24"/>
        </w:rPr>
        <w:t>.</w:t>
      </w:r>
      <w:r w:rsidR="000336E5" w:rsidRPr="009E39C0">
        <w:rPr>
          <w:rFonts w:ascii="Times New Roman" w:hAnsi="Times New Roman" w:cs="Times New Roman"/>
          <w:sz w:val="24"/>
          <w:szCs w:val="24"/>
        </w:rPr>
        <w:t xml:space="preserve">  </w:t>
      </w:r>
      <w:r w:rsidR="0099264C" w:rsidRPr="009E39C0">
        <w:rPr>
          <w:rFonts w:ascii="Times New Roman" w:hAnsi="Times New Roman" w:cs="Times New Roman"/>
          <w:sz w:val="24"/>
          <w:szCs w:val="24"/>
        </w:rPr>
        <w:t xml:space="preserve">“The postmarket duty to warn recognizes that "[e]ven when a product is not defective at the time of sale, a manufacturer may be subject to liability if it subsequently learns of dangers attendant to the use of the product or methods to avoid serious risks and fails reasonably to communicate that information to product users." </w:t>
      </w:r>
      <w:r w:rsidR="007B3590" w:rsidRPr="009E39C0">
        <w:rPr>
          <w:rFonts w:ascii="Times New Roman" w:hAnsi="Times New Roman" w:cs="Times New Roman"/>
          <w:sz w:val="24"/>
          <w:szCs w:val="24"/>
        </w:rPr>
        <w:t xml:space="preserve">James A. </w:t>
      </w:r>
      <w:r w:rsidR="0099264C" w:rsidRPr="009E39C0">
        <w:rPr>
          <w:rFonts w:ascii="Times New Roman" w:hAnsi="Times New Roman" w:cs="Times New Roman"/>
          <w:sz w:val="24"/>
          <w:szCs w:val="24"/>
        </w:rPr>
        <w:t>Henderson</w:t>
      </w:r>
      <w:r w:rsidR="007B3590" w:rsidRPr="009E39C0">
        <w:rPr>
          <w:rFonts w:ascii="Times New Roman" w:hAnsi="Times New Roman" w:cs="Times New Roman"/>
          <w:sz w:val="24"/>
          <w:szCs w:val="24"/>
        </w:rPr>
        <w:t>, Jr.</w:t>
      </w:r>
      <w:r w:rsidR="0099264C" w:rsidRPr="009E39C0">
        <w:rPr>
          <w:rFonts w:ascii="Times New Roman" w:hAnsi="Times New Roman" w:cs="Times New Roman"/>
          <w:sz w:val="24"/>
          <w:szCs w:val="24"/>
        </w:rPr>
        <w:t xml:space="preserve"> &amp; </w:t>
      </w:r>
      <w:r w:rsidR="007B3590" w:rsidRPr="009E39C0">
        <w:rPr>
          <w:rFonts w:ascii="Times New Roman" w:hAnsi="Times New Roman" w:cs="Times New Roman"/>
          <w:sz w:val="24"/>
          <w:szCs w:val="24"/>
        </w:rPr>
        <w:t xml:space="preserve">Aaron D. </w:t>
      </w:r>
      <w:r w:rsidR="0099264C" w:rsidRPr="009E39C0">
        <w:rPr>
          <w:rFonts w:ascii="Times New Roman" w:hAnsi="Times New Roman" w:cs="Times New Roman"/>
          <w:sz w:val="24"/>
          <w:szCs w:val="24"/>
        </w:rPr>
        <w:t>Twerski, </w:t>
      </w:r>
      <w:r w:rsidR="0099264C" w:rsidRPr="00191202">
        <w:rPr>
          <w:rFonts w:ascii="Times New Roman" w:hAnsi="Times New Roman" w:cs="Times New Roman"/>
          <w:i/>
          <w:sz w:val="24"/>
          <w:szCs w:val="24"/>
        </w:rPr>
        <w:t>The Products Liability Restatement</w:t>
      </w:r>
      <w:r w:rsidR="0099264C" w:rsidRPr="009E39C0">
        <w:rPr>
          <w:rFonts w:ascii="Times New Roman" w:hAnsi="Times New Roman" w:cs="Times New Roman"/>
          <w:sz w:val="24"/>
          <w:szCs w:val="24"/>
        </w:rPr>
        <w:t xml:space="preserve"> in the </w:t>
      </w:r>
      <w:r w:rsidR="0099264C" w:rsidRPr="00191202">
        <w:rPr>
          <w:rFonts w:ascii="Times New Roman" w:hAnsi="Times New Roman" w:cs="Times New Roman"/>
          <w:i/>
          <w:sz w:val="24"/>
          <w:szCs w:val="24"/>
        </w:rPr>
        <w:t>Courts: An Initial Assessment,</w:t>
      </w:r>
      <w:r w:rsidR="0099264C" w:rsidRPr="009E39C0">
        <w:rPr>
          <w:rFonts w:ascii="Times New Roman" w:hAnsi="Times New Roman" w:cs="Times New Roman"/>
          <w:sz w:val="24"/>
          <w:szCs w:val="24"/>
        </w:rPr>
        <w:t xml:space="preserve"> 27 Wm. Mitchell L. Rev. 7, 28 (2000). </w:t>
      </w:r>
    </w:p>
    <w:p w:rsidR="00C179DC" w:rsidRPr="009E39C0" w:rsidRDefault="00C179DC" w:rsidP="00C179DC">
      <w:pPr>
        <w:spacing w:after="0" w:line="240" w:lineRule="auto"/>
        <w:jc w:val="both"/>
        <w:rPr>
          <w:rFonts w:ascii="Times New Roman" w:hAnsi="Times New Roman" w:cs="Times New Roman"/>
          <w:sz w:val="24"/>
          <w:szCs w:val="24"/>
        </w:rPr>
      </w:pPr>
    </w:p>
    <w:p w:rsidR="0099264C" w:rsidRPr="009E39C0" w:rsidRDefault="000336E5" w:rsidP="000336E5">
      <w:pPr>
        <w:spacing w:after="0"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The </w:t>
      </w:r>
      <w:r w:rsidR="00C179DC" w:rsidRPr="009E39C0">
        <w:rPr>
          <w:rFonts w:ascii="Times New Roman" w:hAnsi="Times New Roman" w:cs="Times New Roman"/>
          <w:sz w:val="24"/>
          <w:szCs w:val="24"/>
        </w:rPr>
        <w:t xml:space="preserve">emergence </w:t>
      </w:r>
      <w:r w:rsidRPr="009E39C0">
        <w:rPr>
          <w:rFonts w:ascii="Times New Roman" w:hAnsi="Times New Roman" w:cs="Times New Roman"/>
          <w:sz w:val="24"/>
          <w:szCs w:val="24"/>
        </w:rPr>
        <w:t xml:space="preserve">of the duty </w:t>
      </w:r>
      <w:r w:rsidR="00C179DC" w:rsidRPr="009E39C0">
        <w:rPr>
          <w:rFonts w:ascii="Times New Roman" w:hAnsi="Times New Roman" w:cs="Times New Roman"/>
          <w:sz w:val="24"/>
          <w:szCs w:val="24"/>
        </w:rPr>
        <w:t xml:space="preserve">was propelled by </w:t>
      </w:r>
      <w:r w:rsidRPr="009E39C0">
        <w:rPr>
          <w:rFonts w:ascii="Times New Roman" w:hAnsi="Times New Roman" w:cs="Times New Roman"/>
          <w:sz w:val="24"/>
          <w:szCs w:val="24"/>
        </w:rPr>
        <w:t xml:space="preserve">the </w:t>
      </w:r>
      <w:r w:rsidRPr="00191202">
        <w:rPr>
          <w:rFonts w:ascii="Times New Roman" w:hAnsi="Times New Roman" w:cs="Times New Roman"/>
          <w:i/>
          <w:sz w:val="24"/>
          <w:szCs w:val="24"/>
        </w:rPr>
        <w:t>Restatement (Third) of Torts: Products Liability</w:t>
      </w:r>
      <w:r w:rsidRPr="009E39C0">
        <w:rPr>
          <w:rFonts w:ascii="Times New Roman" w:hAnsi="Times New Roman" w:cs="Times New Roman"/>
          <w:sz w:val="24"/>
          <w:szCs w:val="24"/>
        </w:rPr>
        <w:t xml:space="preserve">, §10 (Am. Law Inst. 1998).  </w:t>
      </w:r>
      <w:r w:rsidR="0099264C" w:rsidRPr="009E39C0">
        <w:rPr>
          <w:rFonts w:ascii="Times New Roman" w:hAnsi="Times New Roman" w:cs="Times New Roman"/>
          <w:sz w:val="24"/>
          <w:szCs w:val="24"/>
        </w:rPr>
        <w:t>Section 10 provides:</w:t>
      </w:r>
    </w:p>
    <w:p w:rsidR="000336E5" w:rsidRPr="009E39C0" w:rsidRDefault="000336E5" w:rsidP="000336E5">
      <w:pPr>
        <w:spacing w:after="0" w:line="240" w:lineRule="auto"/>
        <w:jc w:val="both"/>
        <w:rPr>
          <w:rFonts w:ascii="Times New Roman" w:hAnsi="Times New Roman" w:cs="Times New Roman"/>
          <w:sz w:val="24"/>
          <w:szCs w:val="24"/>
        </w:rPr>
      </w:pPr>
    </w:p>
    <w:p w:rsidR="0099264C" w:rsidRPr="009E39C0" w:rsidRDefault="000336E5" w:rsidP="000336E5">
      <w:pPr>
        <w:shd w:val="clear" w:color="auto" w:fill="FFFFFF"/>
        <w:spacing w:after="12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 xml:space="preserve">(a) </w:t>
      </w:r>
      <w:r w:rsidR="0099264C" w:rsidRPr="009E39C0">
        <w:rPr>
          <w:rFonts w:ascii="Times New Roman" w:hAnsi="Times New Roman" w:cs="Times New Roman"/>
          <w:sz w:val="24"/>
          <w:szCs w:val="24"/>
        </w:rPr>
        <w:t>One engaged in the business of selling or otherwise distributing products is subject to liability for harm to persons or property caused by the seller's failure to provide a warning after the time of sale or</w:t>
      </w:r>
      <w:r w:rsidRPr="009E39C0">
        <w:rPr>
          <w:rFonts w:ascii="Times New Roman" w:hAnsi="Times New Roman" w:cs="Times New Roman"/>
          <w:sz w:val="24"/>
          <w:szCs w:val="24"/>
        </w:rPr>
        <w:t xml:space="preserve"> distribution of a product if a </w:t>
      </w:r>
      <w:r w:rsidR="0099264C" w:rsidRPr="009E39C0">
        <w:rPr>
          <w:rFonts w:ascii="Times New Roman" w:hAnsi="Times New Roman" w:cs="Times New Roman"/>
          <w:sz w:val="24"/>
          <w:szCs w:val="24"/>
        </w:rPr>
        <w:t>reasonable person in the seller's position would provide such a warning.</w:t>
      </w:r>
    </w:p>
    <w:p w:rsidR="0099264C" w:rsidRPr="009E39C0" w:rsidRDefault="0099264C" w:rsidP="000336E5">
      <w:pPr>
        <w:shd w:val="clear" w:color="auto" w:fill="FFFFFF"/>
        <w:spacing w:after="12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(b) A reasonable person in the seller's position would provide a warning after the time of sale if:</w:t>
      </w:r>
    </w:p>
    <w:p w:rsidR="0099264C" w:rsidRPr="009E39C0" w:rsidRDefault="0099264C" w:rsidP="00721A30">
      <w:pPr>
        <w:shd w:val="clear" w:color="auto" w:fill="FFFFFF"/>
        <w:spacing w:after="120" w:line="240" w:lineRule="auto"/>
        <w:ind w:left="1008" w:right="1008"/>
        <w:jc w:val="both"/>
        <w:rPr>
          <w:rFonts w:ascii="Times New Roman" w:hAnsi="Times New Roman" w:cs="Times New Roman"/>
          <w:sz w:val="24"/>
          <w:szCs w:val="24"/>
        </w:rPr>
      </w:pPr>
      <w:r w:rsidRPr="009E39C0">
        <w:rPr>
          <w:rFonts w:ascii="Times New Roman" w:hAnsi="Times New Roman" w:cs="Times New Roman"/>
          <w:sz w:val="24"/>
          <w:szCs w:val="24"/>
        </w:rPr>
        <w:t>(</w:t>
      </w:r>
      <w:r w:rsidR="000336E5" w:rsidRPr="009E39C0">
        <w:rPr>
          <w:rFonts w:ascii="Times New Roman" w:hAnsi="Times New Roman" w:cs="Times New Roman"/>
          <w:sz w:val="24"/>
          <w:szCs w:val="24"/>
        </w:rPr>
        <w:t>1</w:t>
      </w:r>
      <w:r w:rsidRPr="009E39C0">
        <w:rPr>
          <w:rFonts w:ascii="Times New Roman" w:hAnsi="Times New Roman" w:cs="Times New Roman"/>
          <w:sz w:val="24"/>
          <w:szCs w:val="24"/>
        </w:rPr>
        <w:t>) the seller knows or reasonably should know that the product poses a substantial risk of harm to persons or property; and</w:t>
      </w:r>
    </w:p>
    <w:p w:rsidR="0099264C" w:rsidRPr="009E39C0" w:rsidRDefault="0099264C" w:rsidP="00721A30">
      <w:pPr>
        <w:shd w:val="clear" w:color="auto" w:fill="FFFFFF"/>
        <w:spacing w:after="120" w:line="240" w:lineRule="auto"/>
        <w:ind w:left="1008" w:right="1008"/>
        <w:jc w:val="both"/>
        <w:rPr>
          <w:rFonts w:ascii="Times New Roman" w:hAnsi="Times New Roman" w:cs="Times New Roman"/>
          <w:sz w:val="24"/>
          <w:szCs w:val="24"/>
        </w:rPr>
      </w:pPr>
      <w:r w:rsidRPr="009E39C0">
        <w:rPr>
          <w:rFonts w:ascii="Times New Roman" w:hAnsi="Times New Roman" w:cs="Times New Roman"/>
          <w:sz w:val="24"/>
          <w:szCs w:val="24"/>
        </w:rPr>
        <w:t>(</w:t>
      </w:r>
      <w:r w:rsidR="000336E5" w:rsidRPr="009E39C0">
        <w:rPr>
          <w:rFonts w:ascii="Times New Roman" w:hAnsi="Times New Roman" w:cs="Times New Roman"/>
          <w:sz w:val="24"/>
          <w:szCs w:val="24"/>
        </w:rPr>
        <w:t>2</w:t>
      </w:r>
      <w:r w:rsidRPr="009E39C0">
        <w:rPr>
          <w:rFonts w:ascii="Times New Roman" w:hAnsi="Times New Roman" w:cs="Times New Roman"/>
          <w:sz w:val="24"/>
          <w:szCs w:val="24"/>
        </w:rPr>
        <w:t>) those to whom a warning might be provided can be identified and can reasonably be assumed to be unaware of the risk of harm; and</w:t>
      </w:r>
    </w:p>
    <w:p w:rsidR="0099264C" w:rsidRPr="009E39C0" w:rsidRDefault="0099264C" w:rsidP="00721A30">
      <w:pPr>
        <w:shd w:val="clear" w:color="auto" w:fill="FFFFFF"/>
        <w:spacing w:after="120" w:line="240" w:lineRule="auto"/>
        <w:ind w:left="1008" w:right="1008"/>
        <w:jc w:val="both"/>
        <w:rPr>
          <w:rFonts w:ascii="Times New Roman" w:hAnsi="Times New Roman" w:cs="Times New Roman"/>
          <w:sz w:val="24"/>
          <w:szCs w:val="24"/>
        </w:rPr>
      </w:pPr>
      <w:r w:rsidRPr="009E39C0">
        <w:rPr>
          <w:rFonts w:ascii="Times New Roman" w:hAnsi="Times New Roman" w:cs="Times New Roman"/>
          <w:sz w:val="24"/>
          <w:szCs w:val="24"/>
        </w:rPr>
        <w:t>(3) a warning can be effectively communicated to and acted on by those to whom a warning might be provided; and</w:t>
      </w:r>
    </w:p>
    <w:p w:rsidR="0099264C" w:rsidRPr="009E39C0" w:rsidRDefault="0099264C" w:rsidP="00721A30">
      <w:pPr>
        <w:shd w:val="clear" w:color="auto" w:fill="FFFFFF"/>
        <w:spacing w:after="120" w:line="240" w:lineRule="auto"/>
        <w:ind w:left="1008" w:right="1008"/>
        <w:jc w:val="both"/>
        <w:rPr>
          <w:rFonts w:ascii="Times New Roman" w:hAnsi="Times New Roman" w:cs="Times New Roman"/>
          <w:sz w:val="24"/>
          <w:szCs w:val="24"/>
        </w:rPr>
      </w:pPr>
      <w:r w:rsidRPr="009E39C0">
        <w:rPr>
          <w:rFonts w:ascii="Times New Roman" w:hAnsi="Times New Roman" w:cs="Times New Roman"/>
          <w:sz w:val="24"/>
          <w:szCs w:val="24"/>
        </w:rPr>
        <w:t>(4) the risk of harm is sufficiently great to justify the burden of providing a warning.</w:t>
      </w:r>
    </w:p>
    <w:p w:rsidR="000F41DA" w:rsidRPr="009E39C0" w:rsidRDefault="000336E5" w:rsidP="0099264C">
      <w:pPr>
        <w:shd w:val="clear" w:color="auto" w:fill="FFFFFF"/>
        <w:spacing w:line="240" w:lineRule="auto"/>
        <w:rPr>
          <w:rFonts w:ascii="Times New Roman" w:hAnsi="Times New Roman" w:cs="Times New Roman"/>
          <w:sz w:val="24"/>
          <w:szCs w:val="24"/>
        </w:rPr>
      </w:pPr>
      <w:r w:rsidRPr="009E39C0">
        <w:rPr>
          <w:rFonts w:ascii="Times New Roman" w:hAnsi="Times New Roman" w:cs="Times New Roman"/>
          <w:sz w:val="24"/>
          <w:szCs w:val="24"/>
        </w:rPr>
        <w:t xml:space="preserve">In promulgating this duty members of the American Law Institute recognized what others </w:t>
      </w:r>
      <w:r w:rsidR="00721A30" w:rsidRPr="009E39C0">
        <w:rPr>
          <w:rFonts w:ascii="Times New Roman" w:hAnsi="Times New Roman" w:cs="Times New Roman"/>
          <w:sz w:val="24"/>
          <w:szCs w:val="24"/>
        </w:rPr>
        <w:t xml:space="preserve">later </w:t>
      </w:r>
      <w:r w:rsidRPr="009E39C0">
        <w:rPr>
          <w:rFonts w:ascii="Times New Roman" w:hAnsi="Times New Roman" w:cs="Times New Roman"/>
          <w:sz w:val="24"/>
          <w:szCs w:val="24"/>
        </w:rPr>
        <w:t xml:space="preserve">have labelled a “monster duty.” </w:t>
      </w:r>
      <w:r w:rsidR="00721A30" w:rsidRPr="009E39C0">
        <w:rPr>
          <w:rFonts w:ascii="Times New Roman" w:hAnsi="Times New Roman" w:cs="Times New Roman"/>
          <w:sz w:val="24"/>
          <w:szCs w:val="24"/>
        </w:rPr>
        <w:t xml:space="preserve">James A. Henderson, Jr. &amp; Aaron Twerski, </w:t>
      </w:r>
      <w:r w:rsidR="00721A30" w:rsidRPr="00191202">
        <w:rPr>
          <w:rFonts w:ascii="Times New Roman" w:hAnsi="Times New Roman" w:cs="Times New Roman"/>
          <w:i/>
          <w:sz w:val="24"/>
          <w:szCs w:val="24"/>
        </w:rPr>
        <w:t>Teacher’s Manual for Products Liability: Problems and Process</w:t>
      </w:r>
      <w:r w:rsidR="00721A30" w:rsidRPr="009E39C0">
        <w:rPr>
          <w:rFonts w:ascii="Times New Roman" w:hAnsi="Times New Roman" w:cs="Times New Roman"/>
          <w:sz w:val="24"/>
          <w:szCs w:val="24"/>
        </w:rPr>
        <w:t xml:space="preserve"> 159 (6th ed. 2008).  So in commentary, </w:t>
      </w:r>
      <w:r w:rsidR="00C179DC" w:rsidRPr="009E39C0">
        <w:rPr>
          <w:rFonts w:ascii="Times New Roman" w:hAnsi="Times New Roman" w:cs="Times New Roman"/>
          <w:sz w:val="24"/>
          <w:szCs w:val="24"/>
        </w:rPr>
        <w:t>ALI</w:t>
      </w:r>
      <w:r w:rsidR="00721A30" w:rsidRPr="009E39C0">
        <w:rPr>
          <w:rFonts w:ascii="Times New Roman" w:hAnsi="Times New Roman" w:cs="Times New Roman"/>
          <w:sz w:val="24"/>
          <w:szCs w:val="24"/>
        </w:rPr>
        <w:t xml:space="preserve"> members sought to soften the duty’s scope:</w:t>
      </w:r>
    </w:p>
    <w:p w:rsidR="0099264C" w:rsidRPr="009E39C0" w:rsidRDefault="000F41DA" w:rsidP="000F41DA">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Courts recognize that warnings about risks discovered after sale are sometimes necessary to prevent significant harm to persons or property.  Nevertheless, an unbounded post-sale duty to warn would impose unacceptable burdens on product seller.  The cost of identifying and communicating with</w:t>
      </w:r>
      <w:r w:rsidR="00721A30" w:rsidRPr="009E39C0">
        <w:rPr>
          <w:rFonts w:ascii="Times New Roman" w:hAnsi="Times New Roman" w:cs="Times New Roman"/>
          <w:sz w:val="24"/>
          <w:szCs w:val="24"/>
        </w:rPr>
        <w:t xml:space="preserve"> </w:t>
      </w:r>
      <w:r w:rsidRPr="009E39C0">
        <w:rPr>
          <w:rFonts w:ascii="Times New Roman" w:hAnsi="Times New Roman" w:cs="Times New Roman"/>
          <w:sz w:val="24"/>
          <w:szCs w:val="24"/>
        </w:rPr>
        <w:t>product users years after sale are often daunting.  Furthermore, as product designs are developed and improved over time, many risks are reduced or avoided by subsequent design changes.  If every post-sale improvement in a product design were to give rise to a duty to warn users of the risks of continuing to use the existing design, the burden on product sellers would be unacceptably great.</w:t>
      </w:r>
    </w:p>
    <w:p w:rsidR="000F41DA" w:rsidRPr="009E39C0" w:rsidRDefault="000F41DA" w:rsidP="000F41DA">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w:t>
      </w:r>
    </w:p>
    <w:p w:rsidR="000F41DA" w:rsidRPr="009E39C0" w:rsidRDefault="000F41DA" w:rsidP="000F41DA">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 xml:space="preserve">In light of the serious potential for overburdening sellers in this regard, the </w:t>
      </w:r>
      <w:r w:rsidR="00721A30" w:rsidRPr="009E39C0">
        <w:rPr>
          <w:rFonts w:ascii="Times New Roman" w:hAnsi="Times New Roman" w:cs="Times New Roman"/>
          <w:sz w:val="24"/>
          <w:szCs w:val="24"/>
        </w:rPr>
        <w:t>c</w:t>
      </w:r>
      <w:r w:rsidRPr="009E39C0">
        <w:rPr>
          <w:rFonts w:ascii="Times New Roman" w:hAnsi="Times New Roman" w:cs="Times New Roman"/>
          <w:sz w:val="24"/>
          <w:szCs w:val="24"/>
        </w:rPr>
        <w:t>ourt should carefully examine the circumstances for and against imposing a duty to provide a post-sale warning in a particular case.</w:t>
      </w:r>
    </w:p>
    <w:p w:rsidR="000F41DA" w:rsidRPr="009E39C0" w:rsidRDefault="000F41DA" w:rsidP="000F41DA">
      <w:pPr>
        <w:spacing w:after="0" w:line="240" w:lineRule="auto"/>
        <w:ind w:left="720" w:right="720"/>
        <w:jc w:val="both"/>
        <w:rPr>
          <w:rFonts w:ascii="Times New Roman" w:hAnsi="Times New Roman" w:cs="Times New Roman"/>
          <w:sz w:val="24"/>
          <w:szCs w:val="24"/>
        </w:rPr>
      </w:pPr>
    </w:p>
    <w:p w:rsidR="005210B2" w:rsidRPr="009E39C0" w:rsidRDefault="000F41DA" w:rsidP="005210B2">
      <w:pPr>
        <w:spacing w:line="240" w:lineRule="auto"/>
        <w:jc w:val="both"/>
        <w:rPr>
          <w:rFonts w:ascii="Times New Roman" w:hAnsi="Times New Roman" w:cs="Times New Roman"/>
          <w:sz w:val="24"/>
          <w:szCs w:val="24"/>
        </w:rPr>
      </w:pPr>
      <w:r w:rsidRPr="00191202">
        <w:rPr>
          <w:rFonts w:ascii="Times New Roman" w:hAnsi="Times New Roman" w:cs="Times New Roman"/>
          <w:i/>
          <w:sz w:val="24"/>
          <w:szCs w:val="24"/>
        </w:rPr>
        <w:t>Restatement,</w:t>
      </w:r>
      <w:r w:rsidRPr="009E39C0">
        <w:rPr>
          <w:rFonts w:ascii="Times New Roman" w:hAnsi="Times New Roman" w:cs="Times New Roman"/>
          <w:sz w:val="24"/>
          <w:szCs w:val="24"/>
        </w:rPr>
        <w:t xml:space="preserve"> §10, Comment a (1998).  The American Law Institute further notes that a post-sale duty should not exist if acquisition of knowledge of adverse outcomes is both infrequent and insubstantial.  Otherwise sellers would fac</w:t>
      </w:r>
      <w:r w:rsidR="00C179DC" w:rsidRPr="009E39C0">
        <w:rPr>
          <w:rFonts w:ascii="Times New Roman" w:hAnsi="Times New Roman" w:cs="Times New Roman"/>
          <w:sz w:val="24"/>
          <w:szCs w:val="24"/>
        </w:rPr>
        <w:t>e</w:t>
      </w:r>
      <w:r w:rsidRPr="009E39C0">
        <w:rPr>
          <w:rFonts w:ascii="Times New Roman" w:hAnsi="Times New Roman" w:cs="Times New Roman"/>
          <w:sz w:val="24"/>
          <w:szCs w:val="24"/>
        </w:rPr>
        <w:t xml:space="preserve"> “costly and potentially crushing burdens.”  </w:t>
      </w:r>
      <w:r w:rsidRPr="00191202">
        <w:rPr>
          <w:rFonts w:ascii="Times New Roman" w:hAnsi="Times New Roman" w:cs="Times New Roman"/>
          <w:i/>
          <w:sz w:val="24"/>
          <w:szCs w:val="24"/>
        </w:rPr>
        <w:t xml:space="preserve">Id., </w:t>
      </w:r>
      <w:r w:rsidR="00C179DC" w:rsidRPr="009E39C0">
        <w:rPr>
          <w:rFonts w:ascii="Times New Roman" w:hAnsi="Times New Roman" w:cs="Times New Roman"/>
          <w:sz w:val="24"/>
          <w:szCs w:val="24"/>
        </w:rPr>
        <w:t>C</w:t>
      </w:r>
      <w:r w:rsidRPr="009E39C0">
        <w:rPr>
          <w:rFonts w:ascii="Times New Roman" w:hAnsi="Times New Roman" w:cs="Times New Roman"/>
          <w:sz w:val="24"/>
          <w:szCs w:val="24"/>
        </w:rPr>
        <w:t>omment d.</w:t>
      </w:r>
      <w:r w:rsidR="005210B2" w:rsidRPr="009E39C0">
        <w:rPr>
          <w:rFonts w:ascii="Times New Roman" w:hAnsi="Times New Roman" w:cs="Times New Roman"/>
          <w:sz w:val="24"/>
          <w:szCs w:val="24"/>
        </w:rPr>
        <w:t xml:space="preserve">  Moreover, a post-sale duty is not owed when the danger discovered is open and obvious to an ordinary consumer who used the product with common knowledge of its characteristics.  </w:t>
      </w:r>
      <w:r w:rsidR="005210B2" w:rsidRPr="00191202">
        <w:rPr>
          <w:rFonts w:ascii="Times New Roman" w:hAnsi="Times New Roman" w:cs="Times New Roman"/>
          <w:i/>
          <w:sz w:val="24"/>
          <w:szCs w:val="24"/>
        </w:rPr>
        <w:t>See Spowal v. ITW Food Equip. Grp LLC,</w:t>
      </w:r>
      <w:r w:rsidR="005210B2" w:rsidRPr="009E39C0">
        <w:rPr>
          <w:rFonts w:ascii="Times New Roman" w:hAnsi="Times New Roman" w:cs="Times New Roman"/>
          <w:sz w:val="24"/>
          <w:szCs w:val="24"/>
        </w:rPr>
        <w:t xml:space="preserve"> 943 F. Supp. 2d 550, 556 (W.D. Pa. 2013) (involving a food mixer whose paddle moved a bit (“wind-down”) after it was turned off).</w:t>
      </w:r>
    </w:p>
    <w:p w:rsidR="008C3225" w:rsidRPr="009E39C0" w:rsidRDefault="008C3225" w:rsidP="008C32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The </w:t>
      </w:r>
      <w:r w:rsidRPr="00191202">
        <w:rPr>
          <w:rFonts w:ascii="Times New Roman" w:hAnsi="Times New Roman" w:cs="Times New Roman"/>
          <w:i/>
          <w:sz w:val="24"/>
          <w:szCs w:val="24"/>
        </w:rPr>
        <w:t>Restatement</w:t>
      </w:r>
      <w:r w:rsidRPr="009E39C0">
        <w:rPr>
          <w:rFonts w:ascii="Times New Roman" w:hAnsi="Times New Roman" w:cs="Times New Roman"/>
          <w:sz w:val="24"/>
          <w:szCs w:val="24"/>
        </w:rPr>
        <w:t xml:space="preserve"> makes it clear that this post-sale duty is independent of a time-of-sale defect and therefore selling a defective product can result in claims of time-of-sale defect and also post-sale failure to warn.  In addition, the </w:t>
      </w:r>
      <w:r w:rsidRPr="00191202">
        <w:rPr>
          <w:rFonts w:ascii="Times New Roman" w:hAnsi="Times New Roman" w:cs="Times New Roman"/>
          <w:i/>
          <w:sz w:val="24"/>
          <w:szCs w:val="24"/>
        </w:rPr>
        <w:t>Restatement</w:t>
      </w:r>
      <w:r w:rsidRPr="009E39C0">
        <w:rPr>
          <w:rFonts w:ascii="Times New Roman" w:hAnsi="Times New Roman" w:cs="Times New Roman"/>
          <w:sz w:val="24"/>
          <w:szCs w:val="24"/>
        </w:rPr>
        <w:t xml:space="preserve"> </w:t>
      </w:r>
      <w:r w:rsidR="007B3590" w:rsidRPr="009E39C0">
        <w:rPr>
          <w:rFonts w:ascii="Times New Roman" w:hAnsi="Times New Roman" w:cs="Times New Roman"/>
          <w:sz w:val="24"/>
          <w:szCs w:val="24"/>
        </w:rPr>
        <w:t>adds</w:t>
      </w:r>
      <w:r w:rsidRPr="009E39C0">
        <w:rPr>
          <w:rFonts w:ascii="Times New Roman" w:hAnsi="Times New Roman" w:cs="Times New Roman"/>
          <w:sz w:val="24"/>
          <w:szCs w:val="24"/>
        </w:rPr>
        <w:t xml:space="preserve"> that if the product was defective when sold, the manufacturer cannot be absolved of liability by issuing a post-sale warning for harms caused before any warning is issued.  J. David Prince &amp; Kenneth Ross, </w:t>
      </w:r>
      <w:r w:rsidRPr="00191202">
        <w:rPr>
          <w:rFonts w:ascii="Times New Roman" w:hAnsi="Times New Roman" w:cs="Times New Roman"/>
          <w:i/>
          <w:sz w:val="24"/>
          <w:szCs w:val="24"/>
        </w:rPr>
        <w:t>Post-Sale Duties: The Most Expansive Theory in Products Liability,</w:t>
      </w:r>
      <w:r w:rsidRPr="009E39C0">
        <w:rPr>
          <w:rFonts w:ascii="Times New Roman" w:hAnsi="Times New Roman" w:cs="Times New Roman"/>
          <w:sz w:val="24"/>
          <w:szCs w:val="24"/>
        </w:rPr>
        <w:t xml:space="preserve"> 74 Brook. L. Rev. 963, 967 (2009).</w:t>
      </w:r>
    </w:p>
    <w:p w:rsidR="0099264C" w:rsidRPr="00E775AA" w:rsidRDefault="0099264C" w:rsidP="008F4384">
      <w:pPr>
        <w:spacing w:line="240" w:lineRule="auto"/>
        <w:jc w:val="center"/>
        <w:rPr>
          <w:rFonts w:ascii="Times New Roman" w:hAnsi="Times New Roman" w:cs="Times New Roman"/>
          <w:sz w:val="24"/>
          <w:szCs w:val="24"/>
          <w:u w:val="single"/>
        </w:rPr>
      </w:pPr>
      <w:r w:rsidRPr="00E775AA">
        <w:rPr>
          <w:rFonts w:ascii="Times New Roman" w:hAnsi="Times New Roman" w:cs="Times New Roman"/>
          <w:sz w:val="24"/>
          <w:szCs w:val="24"/>
          <w:u w:val="single"/>
        </w:rPr>
        <w:t>Jurisdictions Finding a Duty</w:t>
      </w:r>
    </w:p>
    <w:p w:rsidR="001E2D05" w:rsidRPr="009E39C0" w:rsidRDefault="00B50C3B" w:rsidP="001E2D0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The seminal</w:t>
      </w:r>
      <w:r w:rsidR="00C179DC" w:rsidRPr="009E39C0">
        <w:rPr>
          <w:rFonts w:ascii="Times New Roman" w:hAnsi="Times New Roman" w:cs="Times New Roman"/>
          <w:sz w:val="24"/>
          <w:szCs w:val="24"/>
        </w:rPr>
        <w:t>, pre-</w:t>
      </w:r>
      <w:r w:rsidR="00C179DC" w:rsidRPr="00191202">
        <w:rPr>
          <w:rFonts w:ascii="Times New Roman" w:hAnsi="Times New Roman" w:cs="Times New Roman"/>
          <w:i/>
          <w:sz w:val="24"/>
          <w:szCs w:val="24"/>
        </w:rPr>
        <w:t>Restatement,</w:t>
      </w:r>
      <w:r w:rsidRPr="009E39C0">
        <w:rPr>
          <w:rFonts w:ascii="Times New Roman" w:hAnsi="Times New Roman" w:cs="Times New Roman"/>
          <w:sz w:val="24"/>
          <w:szCs w:val="24"/>
        </w:rPr>
        <w:t xml:space="preserve"> case </w:t>
      </w:r>
      <w:r w:rsidR="008F4384" w:rsidRPr="009E39C0">
        <w:rPr>
          <w:rFonts w:ascii="Times New Roman" w:hAnsi="Times New Roman" w:cs="Times New Roman"/>
          <w:sz w:val="24"/>
          <w:szCs w:val="24"/>
        </w:rPr>
        <w:t>on post-sale duty to warn</w:t>
      </w:r>
      <w:r w:rsidRPr="009E39C0">
        <w:rPr>
          <w:rFonts w:ascii="Times New Roman" w:hAnsi="Times New Roman" w:cs="Times New Roman"/>
          <w:sz w:val="24"/>
          <w:szCs w:val="24"/>
        </w:rPr>
        <w:t xml:space="preserve"> is </w:t>
      </w:r>
      <w:hyperlink r:id="rId9" w:history="1">
        <w:r w:rsidRPr="00191202">
          <w:rPr>
            <w:rFonts w:ascii="Times New Roman" w:hAnsi="Times New Roman" w:cs="Times New Roman"/>
            <w:i/>
            <w:sz w:val="24"/>
            <w:szCs w:val="24"/>
          </w:rPr>
          <w:t>Comstock v. General Motors Corp.,</w:t>
        </w:r>
        <w:r w:rsidRPr="009E39C0">
          <w:rPr>
            <w:rFonts w:ascii="Times New Roman" w:hAnsi="Times New Roman" w:cs="Times New Roman"/>
            <w:sz w:val="24"/>
            <w:szCs w:val="24"/>
          </w:rPr>
          <w:t> 358 Mich. 163, 99 N.W.2d 627, 634 (1959)</w:t>
        </w:r>
      </w:hyperlink>
      <w:r w:rsidRPr="009E39C0">
        <w:rPr>
          <w:rFonts w:ascii="Times New Roman" w:hAnsi="Times New Roman" w:cs="Times New Roman"/>
          <w:sz w:val="24"/>
          <w:szCs w:val="24"/>
        </w:rPr>
        <w:t>. In </w:t>
      </w:r>
      <w:r w:rsidRPr="00191202">
        <w:rPr>
          <w:rFonts w:ascii="Times New Roman" w:hAnsi="Times New Roman" w:cs="Times New Roman"/>
          <w:i/>
          <w:sz w:val="24"/>
          <w:szCs w:val="24"/>
        </w:rPr>
        <w:t>Comstock,</w:t>
      </w:r>
      <w:r w:rsidRPr="009E39C0">
        <w:rPr>
          <w:rFonts w:ascii="Times New Roman" w:hAnsi="Times New Roman" w:cs="Times New Roman"/>
          <w:sz w:val="24"/>
          <w:szCs w:val="24"/>
        </w:rPr>
        <w:t xml:space="preserve"> the court observed </w:t>
      </w:r>
      <w:r w:rsidR="00C179DC" w:rsidRPr="009E39C0">
        <w:rPr>
          <w:rFonts w:ascii="Times New Roman" w:hAnsi="Times New Roman" w:cs="Times New Roman"/>
          <w:sz w:val="24"/>
          <w:szCs w:val="24"/>
        </w:rPr>
        <w:t xml:space="preserve">that </w:t>
      </w:r>
      <w:r w:rsidRPr="009E39C0">
        <w:rPr>
          <w:rFonts w:ascii="Times New Roman" w:hAnsi="Times New Roman" w:cs="Times New Roman"/>
          <w:sz w:val="24"/>
          <w:szCs w:val="24"/>
        </w:rPr>
        <w:t>the reasons for the imposition of a duty to warn at the point of sale also appl</w:t>
      </w:r>
      <w:r w:rsidR="00C179DC" w:rsidRPr="009E39C0">
        <w:rPr>
          <w:rFonts w:ascii="Times New Roman" w:hAnsi="Times New Roman" w:cs="Times New Roman"/>
          <w:sz w:val="24"/>
          <w:szCs w:val="24"/>
        </w:rPr>
        <w:t>y</w:t>
      </w:r>
      <w:r w:rsidRPr="009E39C0">
        <w:rPr>
          <w:rFonts w:ascii="Times New Roman" w:hAnsi="Times New Roman" w:cs="Times New Roman"/>
          <w:sz w:val="24"/>
          <w:szCs w:val="24"/>
        </w:rPr>
        <w:t xml:space="preserve"> to the imposition of a duty to warn of latent defects which bec</w:t>
      </w:r>
      <w:r w:rsidR="00C179DC" w:rsidRPr="009E39C0">
        <w:rPr>
          <w:rFonts w:ascii="Times New Roman" w:hAnsi="Times New Roman" w:cs="Times New Roman"/>
          <w:sz w:val="24"/>
          <w:szCs w:val="24"/>
        </w:rPr>
        <w:t>o</w:t>
      </w:r>
      <w:r w:rsidRPr="009E39C0">
        <w:rPr>
          <w:rFonts w:ascii="Times New Roman" w:hAnsi="Times New Roman" w:cs="Times New Roman"/>
          <w:sz w:val="24"/>
          <w:szCs w:val="24"/>
        </w:rPr>
        <w:t>me known to the manufacturer after the product has been placed in the market.</w:t>
      </w:r>
      <w:r w:rsidR="008F4384" w:rsidRPr="009E39C0">
        <w:rPr>
          <w:rFonts w:ascii="Times New Roman" w:hAnsi="Times New Roman" w:cs="Times New Roman"/>
          <w:sz w:val="24"/>
          <w:szCs w:val="24"/>
        </w:rPr>
        <w:t xml:space="preserve">  </w:t>
      </w:r>
      <w:r w:rsidR="005453CE" w:rsidRPr="00191202">
        <w:rPr>
          <w:rFonts w:ascii="Times New Roman" w:hAnsi="Times New Roman" w:cs="Times New Roman"/>
          <w:i/>
          <w:sz w:val="24"/>
          <w:szCs w:val="24"/>
        </w:rPr>
        <w:t>Restatement</w:t>
      </w:r>
      <w:r w:rsidR="005453CE" w:rsidRPr="009E39C0">
        <w:rPr>
          <w:rFonts w:ascii="Times New Roman" w:hAnsi="Times New Roman" w:cs="Times New Roman"/>
          <w:sz w:val="24"/>
          <w:szCs w:val="24"/>
        </w:rPr>
        <w:t xml:space="preserve"> Section 10 fueled its adoption.  </w:t>
      </w:r>
      <w:r w:rsidR="005453CE" w:rsidRPr="00191202">
        <w:rPr>
          <w:rFonts w:ascii="Times New Roman" w:hAnsi="Times New Roman" w:cs="Times New Roman"/>
          <w:i/>
          <w:sz w:val="24"/>
          <w:szCs w:val="24"/>
        </w:rPr>
        <w:t xml:space="preserve">See, e.g., </w:t>
      </w:r>
      <w:hyperlink r:id="rId10" w:history="1">
        <w:r w:rsidR="005453CE" w:rsidRPr="00191202">
          <w:rPr>
            <w:rFonts w:ascii="Times New Roman" w:hAnsi="Times New Roman" w:cs="Times New Roman"/>
            <w:i/>
            <w:sz w:val="24"/>
            <w:szCs w:val="24"/>
          </w:rPr>
          <w:t>Lewis v. Ariens Co</w:t>
        </w:r>
        <w:r w:rsidR="005453CE" w:rsidRPr="009E39C0">
          <w:rPr>
            <w:rFonts w:ascii="Times New Roman" w:hAnsi="Times New Roman" w:cs="Times New Roman"/>
            <w:sz w:val="24"/>
            <w:szCs w:val="24"/>
          </w:rPr>
          <w:t xml:space="preserve">., 434 Mass. 643, 751 N.E.2d 862, </w:t>
        </w:r>
      </w:hyperlink>
      <w:hyperlink r:id="rId11" w:history="1">
        <w:r w:rsidR="005453CE" w:rsidRPr="009E39C0">
          <w:rPr>
            <w:rFonts w:ascii="Times New Roman" w:hAnsi="Times New Roman" w:cs="Times New Roman"/>
            <w:sz w:val="24"/>
            <w:szCs w:val="24"/>
          </w:rPr>
          <w:t> 866 (2001)</w:t>
        </w:r>
      </w:hyperlink>
      <w:r w:rsidR="005453CE" w:rsidRPr="009E39C0">
        <w:rPr>
          <w:rFonts w:ascii="Times New Roman" w:hAnsi="Times New Roman" w:cs="Times New Roman"/>
          <w:sz w:val="24"/>
          <w:szCs w:val="24"/>
        </w:rPr>
        <w:t xml:space="preserve"> (finding “the principles set forth in § 10 represent a logical and balanced embodiment of the continuing duty rule”);  </w:t>
      </w:r>
      <w:r w:rsidR="005453CE" w:rsidRPr="00191202">
        <w:rPr>
          <w:rFonts w:ascii="Times New Roman" w:hAnsi="Times New Roman" w:cs="Times New Roman"/>
          <w:i/>
          <w:sz w:val="24"/>
          <w:szCs w:val="24"/>
        </w:rPr>
        <w:t>Sta-Rite Industries, Inc. v. Levey</w:t>
      </w:r>
      <w:r w:rsidR="005453CE" w:rsidRPr="009E39C0">
        <w:rPr>
          <w:rFonts w:ascii="Times New Roman" w:hAnsi="Times New Roman" w:cs="Times New Roman"/>
          <w:sz w:val="24"/>
          <w:szCs w:val="24"/>
        </w:rPr>
        <w:t xml:space="preserve">, 909 So. 2d 901 (Fla. App. 2004) (citing Section 10); </w:t>
      </w:r>
      <w:r w:rsidR="005453CE" w:rsidRPr="00191202">
        <w:rPr>
          <w:rFonts w:ascii="Times New Roman" w:hAnsi="Times New Roman" w:cs="Times New Roman"/>
          <w:i/>
          <w:sz w:val="24"/>
          <w:szCs w:val="24"/>
        </w:rPr>
        <w:t>accord</w:t>
      </w:r>
      <w:r w:rsidR="005453CE" w:rsidRPr="00191202">
        <w:rPr>
          <w:rFonts w:ascii="Times New Roman" w:hAnsi="Times New Roman" w:cs="Times New Roman"/>
          <w:sz w:val="24"/>
          <w:szCs w:val="24"/>
        </w:rPr>
        <w:t xml:space="preserve"> </w:t>
      </w:r>
      <w:hyperlink r:id="rId12" w:history="1">
        <w:r w:rsidR="005453CE" w:rsidRPr="00191202">
          <w:rPr>
            <w:rFonts w:ascii="Times New Roman" w:hAnsi="Times New Roman" w:cs="Times New Roman"/>
            <w:i/>
            <w:sz w:val="24"/>
            <w:szCs w:val="24"/>
          </w:rPr>
          <w:t>Patton v. Hutchinson Wil-Rich Mfg. Co.</w:t>
        </w:r>
        <w:r w:rsidR="005453CE" w:rsidRPr="009E39C0">
          <w:rPr>
            <w:rFonts w:ascii="Times New Roman" w:hAnsi="Times New Roman" w:cs="Times New Roman"/>
            <w:sz w:val="24"/>
            <w:szCs w:val="24"/>
          </w:rPr>
          <w:t>, 253 Kan. 741, 861 P.2d 1299, 1313 (1993)</w:t>
        </w:r>
      </w:hyperlink>
      <w:r w:rsidR="005453CE" w:rsidRPr="009E39C0">
        <w:rPr>
          <w:rFonts w:ascii="Times New Roman" w:hAnsi="Times New Roman" w:cs="Times New Roman"/>
          <w:sz w:val="24"/>
          <w:szCs w:val="24"/>
        </w:rPr>
        <w:t>; </w:t>
      </w:r>
      <w:hyperlink r:id="rId13" w:history="1">
        <w:r w:rsidR="005453CE" w:rsidRPr="00191202">
          <w:rPr>
            <w:rFonts w:ascii="Times New Roman" w:hAnsi="Times New Roman" w:cs="Times New Roman"/>
            <w:i/>
            <w:sz w:val="24"/>
            <w:szCs w:val="24"/>
          </w:rPr>
          <w:t>Owens-Illinois, Inc. v. Zenobia,</w:t>
        </w:r>
        <w:r w:rsidR="005453CE" w:rsidRPr="009E39C0">
          <w:rPr>
            <w:rFonts w:ascii="Times New Roman" w:hAnsi="Times New Roman" w:cs="Times New Roman"/>
            <w:sz w:val="24"/>
            <w:szCs w:val="24"/>
          </w:rPr>
          <w:t xml:space="preserve"> 325 Md. 420, 601 A.2d 633, 645-46 (1992)</w:t>
        </w:r>
      </w:hyperlink>
      <w:r w:rsidR="005453CE" w:rsidRPr="009E39C0">
        <w:rPr>
          <w:rFonts w:ascii="Times New Roman" w:hAnsi="Times New Roman" w:cs="Times New Roman"/>
          <w:sz w:val="24"/>
          <w:szCs w:val="24"/>
        </w:rPr>
        <w:t xml:space="preserve">.  </w:t>
      </w:r>
      <w:r w:rsidR="008F4384" w:rsidRPr="009E39C0">
        <w:rPr>
          <w:rFonts w:ascii="Times New Roman" w:hAnsi="Times New Roman" w:cs="Times New Roman"/>
          <w:sz w:val="24"/>
          <w:szCs w:val="24"/>
        </w:rPr>
        <w:t xml:space="preserve">The most recent endorser is Minnesota.  </w:t>
      </w:r>
      <w:r w:rsidR="008F4384" w:rsidRPr="00191202">
        <w:rPr>
          <w:rFonts w:ascii="Times New Roman" w:hAnsi="Times New Roman" w:cs="Times New Roman"/>
          <w:i/>
          <w:sz w:val="24"/>
          <w:szCs w:val="24"/>
        </w:rPr>
        <w:t>See Great Northern Ins. Co. v. Honeywell Int’l, Inc.,</w:t>
      </w:r>
      <w:r w:rsidR="008F4384" w:rsidRPr="009E39C0">
        <w:rPr>
          <w:rFonts w:ascii="Times New Roman" w:hAnsi="Times New Roman" w:cs="Times New Roman"/>
          <w:sz w:val="24"/>
          <w:szCs w:val="24"/>
        </w:rPr>
        <w:t xml:space="preserve"> 911 N.W.2d 510, 520-521 (Minn. 2018) (adopting the </w:t>
      </w:r>
      <w:r w:rsidR="008F4384" w:rsidRPr="00191202">
        <w:rPr>
          <w:rFonts w:ascii="Times New Roman" w:hAnsi="Times New Roman" w:cs="Times New Roman"/>
          <w:i/>
          <w:sz w:val="24"/>
          <w:szCs w:val="24"/>
        </w:rPr>
        <w:t>Restatement</w:t>
      </w:r>
      <w:r w:rsidR="008F4384" w:rsidRPr="009E39C0">
        <w:rPr>
          <w:rFonts w:ascii="Times New Roman" w:hAnsi="Times New Roman" w:cs="Times New Roman"/>
          <w:sz w:val="24"/>
          <w:szCs w:val="24"/>
        </w:rPr>
        <w:t xml:space="preserve"> §10 negligence standard).</w:t>
      </w:r>
      <w:r w:rsidR="001E2D05" w:rsidRPr="009E39C0">
        <w:rPr>
          <w:rFonts w:ascii="Times New Roman" w:hAnsi="Times New Roman" w:cs="Times New Roman"/>
          <w:sz w:val="24"/>
          <w:szCs w:val="24"/>
        </w:rPr>
        <w:t xml:space="preserve">  On its heels is Alaska.  </w:t>
      </w:r>
      <w:r w:rsidR="001E2D05" w:rsidRPr="00191202">
        <w:rPr>
          <w:rFonts w:ascii="Times New Roman" w:hAnsi="Times New Roman" w:cs="Times New Roman"/>
          <w:i/>
          <w:sz w:val="24"/>
          <w:szCs w:val="24"/>
        </w:rPr>
        <w:t xml:space="preserve">See </w:t>
      </w:r>
      <w:hyperlink r:id="rId14" w:history="1">
        <w:r w:rsidR="001E2D05" w:rsidRPr="00191202">
          <w:rPr>
            <w:rFonts w:ascii="Times New Roman" w:hAnsi="Times New Roman" w:cs="Times New Roman"/>
            <w:i/>
            <w:sz w:val="24"/>
            <w:szCs w:val="24"/>
          </w:rPr>
          <w:t>Jones v. Bowie Indus., Inc.,</w:t>
        </w:r>
        <w:r w:rsidR="001E2D05" w:rsidRPr="009E39C0">
          <w:rPr>
            <w:rFonts w:ascii="Times New Roman" w:hAnsi="Times New Roman" w:cs="Times New Roman"/>
            <w:sz w:val="24"/>
            <w:szCs w:val="24"/>
          </w:rPr>
          <w:t> 282 P.3d 316, 335-36 (Alaska 2012)</w:t>
        </w:r>
      </w:hyperlink>
      <w:r w:rsidR="001E2D05" w:rsidRPr="009E39C0">
        <w:rPr>
          <w:rFonts w:ascii="Times New Roman" w:hAnsi="Times New Roman" w:cs="Times New Roman"/>
          <w:sz w:val="24"/>
          <w:szCs w:val="24"/>
        </w:rPr>
        <w:t xml:space="preserve"> (adopting § 10).  Federal courts generally predict state court acceptance of the doctrine.  </w:t>
      </w:r>
      <w:r w:rsidR="001E2D05" w:rsidRPr="00191202">
        <w:rPr>
          <w:rFonts w:ascii="Times New Roman" w:hAnsi="Times New Roman" w:cs="Times New Roman"/>
          <w:i/>
          <w:sz w:val="24"/>
          <w:szCs w:val="24"/>
        </w:rPr>
        <w:t>See, e.g., Jenks v. New Hampshire Motor Speedway,</w:t>
      </w:r>
      <w:r w:rsidR="001E2D05" w:rsidRPr="009E39C0">
        <w:rPr>
          <w:rFonts w:ascii="Times New Roman" w:hAnsi="Times New Roman" w:cs="Times New Roman"/>
          <w:sz w:val="24"/>
          <w:szCs w:val="24"/>
        </w:rPr>
        <w:t xml:space="preserve"> 2012 WL 1393977 </w:t>
      </w:r>
      <w:r w:rsidR="006C54B4" w:rsidRPr="009E39C0">
        <w:rPr>
          <w:rFonts w:ascii="Times New Roman" w:hAnsi="Times New Roman" w:cs="Times New Roman"/>
          <w:sz w:val="24"/>
          <w:szCs w:val="24"/>
        </w:rPr>
        <w:t xml:space="preserve">*5 </w:t>
      </w:r>
      <w:r w:rsidR="001E2D05" w:rsidRPr="009E39C0">
        <w:rPr>
          <w:rFonts w:ascii="Times New Roman" w:hAnsi="Times New Roman" w:cs="Times New Roman"/>
          <w:sz w:val="24"/>
          <w:szCs w:val="24"/>
        </w:rPr>
        <w:t xml:space="preserve">(D.N.H. 2012) (predicting the New Hampshire </w:t>
      </w:r>
      <w:r w:rsidR="00C179DC" w:rsidRPr="009E39C0">
        <w:rPr>
          <w:rFonts w:ascii="Times New Roman" w:hAnsi="Times New Roman" w:cs="Times New Roman"/>
          <w:sz w:val="24"/>
          <w:szCs w:val="24"/>
        </w:rPr>
        <w:t>S</w:t>
      </w:r>
      <w:r w:rsidR="001E2D05" w:rsidRPr="009E39C0">
        <w:rPr>
          <w:rFonts w:ascii="Times New Roman" w:hAnsi="Times New Roman" w:cs="Times New Roman"/>
          <w:sz w:val="24"/>
          <w:szCs w:val="24"/>
        </w:rPr>
        <w:t>upreme Court would adopt Section 10).</w:t>
      </w:r>
    </w:p>
    <w:p w:rsidR="000E0DDC" w:rsidRPr="009E39C0" w:rsidRDefault="008F4384" w:rsidP="000E0DDC">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Jurisdictions adopting the duty may emphasize its grounding in negligence, not strict liability. </w:t>
      </w:r>
      <w:r w:rsidRPr="00191202">
        <w:rPr>
          <w:rFonts w:ascii="Times New Roman" w:hAnsi="Times New Roman" w:cs="Times New Roman"/>
          <w:i/>
          <w:sz w:val="24"/>
          <w:szCs w:val="24"/>
        </w:rPr>
        <w:t xml:space="preserve"> See, e.g., </w:t>
      </w:r>
      <w:hyperlink r:id="rId15" w:history="1">
        <w:r w:rsidR="0099264C" w:rsidRPr="00191202">
          <w:rPr>
            <w:rFonts w:ascii="Times New Roman" w:hAnsi="Times New Roman" w:cs="Times New Roman"/>
            <w:i/>
            <w:sz w:val="24"/>
            <w:szCs w:val="24"/>
          </w:rPr>
          <w:t>Densberger v. United Technologies Corp.</w:t>
        </w:r>
        <w:r w:rsidR="0099264C" w:rsidRPr="009E39C0">
          <w:rPr>
            <w:rFonts w:ascii="Times New Roman" w:hAnsi="Times New Roman" w:cs="Times New Roman"/>
            <w:sz w:val="24"/>
            <w:szCs w:val="24"/>
          </w:rPr>
          <w:t>, 297 F.3d 66</w:t>
        </w:r>
        <w:r w:rsidRPr="009E39C0">
          <w:rPr>
            <w:rFonts w:ascii="Times New Roman" w:hAnsi="Times New Roman" w:cs="Times New Roman"/>
            <w:sz w:val="24"/>
            <w:szCs w:val="24"/>
          </w:rPr>
          <w:t>, 71</w:t>
        </w:r>
        <w:r w:rsidR="0099264C" w:rsidRPr="009E39C0">
          <w:rPr>
            <w:rFonts w:ascii="Times New Roman" w:hAnsi="Times New Roman" w:cs="Times New Roman"/>
            <w:sz w:val="24"/>
            <w:szCs w:val="24"/>
          </w:rPr>
          <w:t xml:space="preserve"> (2d Cir. 2002)</w:t>
        </w:r>
      </w:hyperlink>
      <w:r w:rsidR="0099264C" w:rsidRPr="009E39C0">
        <w:rPr>
          <w:rFonts w:ascii="Times New Roman" w:hAnsi="Times New Roman" w:cs="Times New Roman"/>
          <w:sz w:val="24"/>
          <w:szCs w:val="24"/>
        </w:rPr>
        <w:t xml:space="preserve"> (recognizing that while a post-sale duty does not exist in Connecticut strict liability law, it does exist in negligence)</w:t>
      </w:r>
      <w:r w:rsidRPr="009E39C0">
        <w:rPr>
          <w:rFonts w:ascii="Times New Roman" w:hAnsi="Times New Roman" w:cs="Times New Roman"/>
          <w:sz w:val="24"/>
          <w:szCs w:val="24"/>
        </w:rPr>
        <w:t xml:space="preserve">; </w:t>
      </w:r>
      <w:r w:rsidRPr="00191202">
        <w:rPr>
          <w:rFonts w:ascii="Times New Roman" w:hAnsi="Times New Roman" w:cs="Times New Roman"/>
          <w:i/>
          <w:sz w:val="24"/>
          <w:szCs w:val="24"/>
        </w:rPr>
        <w:t>Estate of McDermed v. Ford Motor Co.,</w:t>
      </w:r>
      <w:r w:rsidRPr="009E39C0">
        <w:rPr>
          <w:rFonts w:ascii="Times New Roman" w:hAnsi="Times New Roman" w:cs="Times New Roman"/>
          <w:sz w:val="24"/>
          <w:szCs w:val="24"/>
        </w:rPr>
        <w:t xml:space="preserve"> 2016 WL 4142107 *4 (D. Kan. Aug. 3, 2016) (recognizing that Kansas adopted the duty only as to negligence</w:t>
      </w:r>
      <w:r w:rsidR="006C54B4"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 not strict liability </w:t>
      </w:r>
      <w:r w:rsidR="006C54B4" w:rsidRPr="009E39C0">
        <w:rPr>
          <w:rFonts w:ascii="Times New Roman" w:hAnsi="Times New Roman" w:cs="Times New Roman"/>
          <w:sz w:val="24"/>
          <w:szCs w:val="24"/>
        </w:rPr>
        <w:t>-</w:t>
      </w:r>
      <w:r w:rsidRPr="009E39C0">
        <w:rPr>
          <w:rFonts w:ascii="Times New Roman" w:hAnsi="Times New Roman" w:cs="Times New Roman"/>
          <w:sz w:val="24"/>
          <w:szCs w:val="24"/>
        </w:rPr>
        <w:t xml:space="preserve"> claims); </w:t>
      </w:r>
      <w:hyperlink r:id="rId16" w:history="1">
        <w:r w:rsidRPr="00191202">
          <w:rPr>
            <w:rFonts w:ascii="Times New Roman" w:hAnsi="Times New Roman" w:cs="Times New Roman"/>
            <w:i/>
            <w:sz w:val="24"/>
            <w:szCs w:val="24"/>
          </w:rPr>
          <w:t>Lovick v. Wil-Rich,</w:t>
        </w:r>
        <w:r w:rsidRPr="009E39C0">
          <w:rPr>
            <w:rFonts w:ascii="Times New Roman" w:hAnsi="Times New Roman" w:cs="Times New Roman"/>
            <w:sz w:val="24"/>
            <w:szCs w:val="24"/>
          </w:rPr>
          <w:t> 588 N.W.2d 688, 693 (Iowa 1999)</w:t>
        </w:r>
      </w:hyperlink>
      <w:r w:rsidRPr="009E39C0">
        <w:rPr>
          <w:rFonts w:ascii="Times New Roman" w:hAnsi="Times New Roman" w:cs="Times New Roman"/>
          <w:sz w:val="24"/>
          <w:szCs w:val="24"/>
        </w:rPr>
        <w:t xml:space="preserve"> (grounding its adoption in negligence).</w:t>
      </w:r>
      <w:r w:rsidR="005453CE" w:rsidRPr="009E39C0">
        <w:rPr>
          <w:rFonts w:ascii="Times New Roman" w:hAnsi="Times New Roman" w:cs="Times New Roman"/>
          <w:sz w:val="24"/>
          <w:szCs w:val="24"/>
        </w:rPr>
        <w:t xml:space="preserve">  </w:t>
      </w:r>
      <w:r w:rsidR="005453CE" w:rsidRPr="004B43A3">
        <w:rPr>
          <w:rFonts w:ascii="Times New Roman" w:hAnsi="Times New Roman" w:cs="Times New Roman"/>
          <w:i/>
          <w:sz w:val="24"/>
          <w:szCs w:val="24"/>
        </w:rPr>
        <w:t>But see Koker v. Armstrong Cork, Inc.</w:t>
      </w:r>
      <w:r w:rsidR="005453CE" w:rsidRPr="009E39C0">
        <w:rPr>
          <w:rFonts w:ascii="Times New Roman" w:hAnsi="Times New Roman" w:cs="Times New Roman"/>
          <w:sz w:val="24"/>
          <w:szCs w:val="24"/>
        </w:rPr>
        <w:t xml:space="preserve">, 60 Wash. App. 466, 804 P.2d 659, 666 (1991) (finding that asbestos product manufacturer had post-sale duty even if the dangers were unforeseeable at the time of sale).  Other jurisdictions tweak acceptance.  </w:t>
      </w:r>
      <w:r w:rsidR="005453CE" w:rsidRPr="004B43A3">
        <w:rPr>
          <w:rFonts w:ascii="Times New Roman" w:hAnsi="Times New Roman" w:cs="Times New Roman"/>
          <w:i/>
          <w:sz w:val="24"/>
          <w:szCs w:val="24"/>
        </w:rPr>
        <w:t>See, e.g., Talarico v. Skyjack, Inc.,</w:t>
      </w:r>
      <w:r w:rsidR="005453CE" w:rsidRPr="009E39C0">
        <w:rPr>
          <w:rFonts w:ascii="Times New Roman" w:hAnsi="Times New Roman" w:cs="Times New Roman"/>
          <w:sz w:val="24"/>
          <w:szCs w:val="24"/>
        </w:rPr>
        <w:t xml:space="preserve"> 191 F. Supp. 3d 394</w:t>
      </w:r>
      <w:r w:rsidR="006C54B4" w:rsidRPr="009E39C0">
        <w:rPr>
          <w:rFonts w:ascii="Times New Roman" w:hAnsi="Times New Roman" w:cs="Times New Roman"/>
          <w:sz w:val="24"/>
          <w:szCs w:val="24"/>
        </w:rPr>
        <w:t>, 399</w:t>
      </w:r>
      <w:r w:rsidR="005453CE" w:rsidRPr="009E39C0">
        <w:rPr>
          <w:rFonts w:ascii="Times New Roman" w:hAnsi="Times New Roman" w:cs="Times New Roman"/>
          <w:sz w:val="24"/>
          <w:szCs w:val="24"/>
        </w:rPr>
        <w:t xml:space="preserve"> (M.D. Pa. 2016) (recognizing Pennsylvania’s rule that the duty exists but only if the defect existed at the time of sale).  </w:t>
      </w:r>
    </w:p>
    <w:p w:rsidR="000E0DDC" w:rsidRPr="009E39C0" w:rsidRDefault="005453CE" w:rsidP="000E0DDC">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It matters not that the manufacturer no longer makes the product.  </w:t>
      </w:r>
      <w:r w:rsidRPr="004B43A3">
        <w:rPr>
          <w:rFonts w:ascii="Times New Roman" w:hAnsi="Times New Roman" w:cs="Times New Roman"/>
          <w:i/>
          <w:sz w:val="24"/>
          <w:szCs w:val="24"/>
        </w:rPr>
        <w:t>Ragin v. Porter Hayden Co.,</w:t>
      </w:r>
      <w:r w:rsidRPr="009E39C0">
        <w:rPr>
          <w:rFonts w:ascii="Times New Roman" w:hAnsi="Times New Roman" w:cs="Times New Roman"/>
          <w:sz w:val="24"/>
          <w:szCs w:val="24"/>
        </w:rPr>
        <w:t xml:space="preserve"> 133 Md. App. 116, 754 A.2d 503</w:t>
      </w:r>
      <w:r w:rsidR="00EA6B0B" w:rsidRPr="009E39C0">
        <w:rPr>
          <w:rFonts w:ascii="Times New Roman" w:hAnsi="Times New Roman" w:cs="Times New Roman"/>
          <w:sz w:val="24"/>
          <w:szCs w:val="24"/>
        </w:rPr>
        <w:t>, 518</w:t>
      </w:r>
      <w:r w:rsidRPr="009E39C0">
        <w:rPr>
          <w:rFonts w:ascii="Times New Roman" w:hAnsi="Times New Roman" w:cs="Times New Roman"/>
          <w:sz w:val="24"/>
          <w:szCs w:val="24"/>
        </w:rPr>
        <w:t xml:space="preserve"> (2000) (noting the post-sale duty </w:t>
      </w:r>
      <w:r w:rsidR="00EA6B0B" w:rsidRPr="009E39C0">
        <w:rPr>
          <w:rFonts w:ascii="Times New Roman" w:hAnsi="Times New Roman" w:cs="Times New Roman"/>
          <w:sz w:val="24"/>
          <w:szCs w:val="24"/>
        </w:rPr>
        <w:t xml:space="preserve">exists </w:t>
      </w:r>
      <w:r w:rsidRPr="009E39C0">
        <w:rPr>
          <w:rFonts w:ascii="Times New Roman" w:hAnsi="Times New Roman" w:cs="Times New Roman"/>
          <w:sz w:val="24"/>
          <w:szCs w:val="24"/>
        </w:rPr>
        <w:t>even when the manufacturer no longer makes the product).</w:t>
      </w:r>
      <w:r w:rsidR="000E0DDC" w:rsidRPr="009E39C0">
        <w:rPr>
          <w:rFonts w:ascii="Times New Roman" w:hAnsi="Times New Roman" w:cs="Times New Roman"/>
          <w:sz w:val="24"/>
          <w:szCs w:val="24"/>
        </w:rPr>
        <w:t xml:space="preserve">  Manufacturers selling products in which others may incorporate a</w:t>
      </w:r>
      <w:r w:rsidR="00EA6B0B" w:rsidRPr="009E39C0">
        <w:rPr>
          <w:rFonts w:ascii="Times New Roman" w:hAnsi="Times New Roman" w:cs="Times New Roman"/>
          <w:sz w:val="24"/>
          <w:szCs w:val="24"/>
        </w:rPr>
        <w:t xml:space="preserve"> defective component </w:t>
      </w:r>
      <w:r w:rsidR="000E0DDC" w:rsidRPr="009E39C0">
        <w:rPr>
          <w:rFonts w:ascii="Times New Roman" w:hAnsi="Times New Roman" w:cs="Times New Roman"/>
          <w:sz w:val="24"/>
          <w:szCs w:val="24"/>
        </w:rPr>
        <w:t xml:space="preserve">are held to the duty.  </w:t>
      </w:r>
      <w:r w:rsidR="000E0DDC" w:rsidRPr="004B43A3">
        <w:rPr>
          <w:rFonts w:ascii="Times New Roman" w:hAnsi="Times New Roman" w:cs="Times New Roman"/>
          <w:i/>
          <w:sz w:val="24"/>
          <w:szCs w:val="24"/>
        </w:rPr>
        <w:t xml:space="preserve">See </w:t>
      </w:r>
      <w:hyperlink r:id="rId17" w:history="1">
        <w:r w:rsidR="000E0DDC" w:rsidRPr="004B43A3">
          <w:rPr>
            <w:rFonts w:ascii="Times New Roman" w:hAnsi="Times New Roman" w:cs="Times New Roman"/>
            <w:i/>
            <w:sz w:val="24"/>
            <w:szCs w:val="24"/>
          </w:rPr>
          <w:t>Berkowitz v A.C. &amp; S., Inc.</w:t>
        </w:r>
        <w:r w:rsidR="000E0DDC" w:rsidRPr="009E39C0">
          <w:rPr>
            <w:rFonts w:ascii="Times New Roman" w:hAnsi="Times New Roman" w:cs="Times New Roman"/>
            <w:sz w:val="24"/>
            <w:szCs w:val="24"/>
          </w:rPr>
          <w:t xml:space="preserve">, 288 A.D.2d 148, </w:t>
        </w:r>
        <w:r w:rsidR="00EA6B0B" w:rsidRPr="009E39C0">
          <w:rPr>
            <w:rFonts w:ascii="Times New Roman" w:hAnsi="Times New Roman" w:cs="Times New Roman"/>
            <w:sz w:val="24"/>
            <w:szCs w:val="24"/>
          </w:rPr>
          <w:t xml:space="preserve">149, </w:t>
        </w:r>
        <w:r w:rsidR="000E0DDC" w:rsidRPr="009E39C0">
          <w:rPr>
            <w:rFonts w:ascii="Times New Roman" w:hAnsi="Times New Roman" w:cs="Times New Roman"/>
            <w:sz w:val="24"/>
            <w:szCs w:val="24"/>
          </w:rPr>
          <w:t>733 N.Y.S.2d 410</w:t>
        </w:r>
      </w:hyperlink>
      <w:r w:rsidR="000E0DDC" w:rsidRPr="009E39C0">
        <w:rPr>
          <w:rFonts w:ascii="Times New Roman" w:hAnsi="Times New Roman" w:cs="Times New Roman"/>
          <w:sz w:val="24"/>
          <w:szCs w:val="24"/>
        </w:rPr>
        <w:t> (2001) (noting that even though defendant sold a bare metal product, it had a duty to warn about the conspicuous hazards of asbestos-containing materials third-parties foreseeably manufactured and/or used therewith subsequent to that sale).</w:t>
      </w:r>
    </w:p>
    <w:p w:rsidR="001E2D05" w:rsidRPr="009E39C0" w:rsidRDefault="001E2D05" w:rsidP="001E2D0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Some cases evaluate whether the duty extends throughout the supply chain.  </w:t>
      </w:r>
      <w:r w:rsidRPr="004B43A3">
        <w:rPr>
          <w:rFonts w:ascii="Times New Roman" w:hAnsi="Times New Roman" w:cs="Times New Roman"/>
          <w:i/>
          <w:sz w:val="24"/>
          <w:szCs w:val="24"/>
        </w:rPr>
        <w:t>See, e.g.,</w:t>
      </w:r>
      <w:r w:rsidRPr="009E39C0">
        <w:rPr>
          <w:rFonts w:ascii="Times New Roman" w:hAnsi="Times New Roman" w:cs="Times New Roman"/>
          <w:sz w:val="24"/>
          <w:szCs w:val="24"/>
        </w:rPr>
        <w:t xml:space="preserve"> </w:t>
      </w:r>
      <w:r w:rsidRPr="004B43A3">
        <w:rPr>
          <w:rFonts w:ascii="Times New Roman" w:hAnsi="Times New Roman" w:cs="Times New Roman"/>
          <w:i/>
          <w:sz w:val="24"/>
          <w:szCs w:val="24"/>
        </w:rPr>
        <w:t>Coleman v. Anco Insulations, Inc.,</w:t>
      </w:r>
      <w:r w:rsidRPr="009E39C0">
        <w:rPr>
          <w:rFonts w:ascii="Times New Roman" w:hAnsi="Times New Roman" w:cs="Times New Roman"/>
          <w:sz w:val="24"/>
          <w:szCs w:val="24"/>
        </w:rPr>
        <w:t xml:space="preserve"> 2017 WL 1854988 </w:t>
      </w:r>
      <w:r w:rsidR="006C54B4" w:rsidRPr="009E39C0">
        <w:rPr>
          <w:rFonts w:ascii="Times New Roman" w:hAnsi="Times New Roman" w:cs="Times New Roman"/>
          <w:sz w:val="24"/>
          <w:szCs w:val="24"/>
        </w:rPr>
        <w:t xml:space="preserve">*9 </w:t>
      </w:r>
      <w:r w:rsidRPr="009E39C0">
        <w:rPr>
          <w:rFonts w:ascii="Times New Roman" w:hAnsi="Times New Roman" w:cs="Times New Roman"/>
          <w:sz w:val="24"/>
          <w:szCs w:val="24"/>
        </w:rPr>
        <w:t xml:space="preserve">(M.D. La. May 8, 2017) (agreeing the duty extends to manufacturers under Louisiana law and leaving open whether it also extends to others in the supply chain); </w:t>
      </w:r>
      <w:r w:rsidRPr="004B43A3">
        <w:rPr>
          <w:rFonts w:ascii="Times New Roman" w:hAnsi="Times New Roman" w:cs="Times New Roman"/>
          <w:i/>
          <w:sz w:val="24"/>
          <w:szCs w:val="24"/>
        </w:rPr>
        <w:t>Gomez v. Harbor Freight Tools USA, Inc.,</w:t>
      </w:r>
      <w:r w:rsidRPr="009E39C0">
        <w:rPr>
          <w:rFonts w:ascii="Times New Roman" w:hAnsi="Times New Roman" w:cs="Times New Roman"/>
          <w:sz w:val="24"/>
          <w:szCs w:val="24"/>
        </w:rPr>
        <w:t xml:space="preserve"> 2018 WL 3430685 </w:t>
      </w:r>
      <w:r w:rsidR="006C54B4" w:rsidRPr="009E39C0">
        <w:rPr>
          <w:rFonts w:ascii="Times New Roman" w:hAnsi="Times New Roman" w:cs="Times New Roman"/>
          <w:sz w:val="24"/>
          <w:szCs w:val="24"/>
        </w:rPr>
        <w:t xml:space="preserve">*5 </w:t>
      </w:r>
      <w:r w:rsidRPr="009E39C0">
        <w:rPr>
          <w:rFonts w:ascii="Times New Roman" w:hAnsi="Times New Roman" w:cs="Times New Roman"/>
          <w:sz w:val="24"/>
          <w:szCs w:val="24"/>
        </w:rPr>
        <w:t>(M.D. Ga. July 16, 2018) (recognizing Georgia law adopts the rule as to manufacturers but not as to others in the supply chain)</w:t>
      </w:r>
      <w:r w:rsidR="00EA6B0B" w:rsidRPr="009E39C0">
        <w:rPr>
          <w:rFonts w:ascii="Times New Roman" w:hAnsi="Times New Roman" w:cs="Times New Roman"/>
          <w:sz w:val="24"/>
          <w:szCs w:val="24"/>
        </w:rPr>
        <w:t>.</w:t>
      </w:r>
    </w:p>
    <w:p w:rsidR="008F4384" w:rsidRPr="00E775AA" w:rsidRDefault="008F4384" w:rsidP="008F4384">
      <w:pPr>
        <w:jc w:val="center"/>
        <w:rPr>
          <w:rFonts w:ascii="Times New Roman" w:hAnsi="Times New Roman" w:cs="Times New Roman"/>
          <w:sz w:val="24"/>
          <w:szCs w:val="24"/>
          <w:u w:val="single"/>
        </w:rPr>
      </w:pPr>
      <w:r w:rsidRPr="00E775AA">
        <w:rPr>
          <w:rFonts w:ascii="Times New Roman" w:hAnsi="Times New Roman" w:cs="Times New Roman"/>
          <w:sz w:val="24"/>
          <w:szCs w:val="24"/>
          <w:u w:val="single"/>
        </w:rPr>
        <w:t>Jurisdictions Finding No Duty</w:t>
      </w:r>
    </w:p>
    <w:p w:rsidR="001773A3" w:rsidRPr="009E39C0" w:rsidRDefault="00A92107" w:rsidP="001773A3">
      <w:pPr>
        <w:spacing w:after="0"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Not all jurisdictions have been willing to adopt the duty.  They include South Carolina.  </w:t>
      </w:r>
      <w:r w:rsidRPr="004B43A3">
        <w:rPr>
          <w:rFonts w:ascii="Times New Roman" w:hAnsi="Times New Roman" w:cs="Times New Roman"/>
          <w:i/>
          <w:sz w:val="24"/>
          <w:szCs w:val="24"/>
        </w:rPr>
        <w:t xml:space="preserve">See, e.g., Davenport v. Goodyear Dunlop Tires No. Am., Ltd., </w:t>
      </w:r>
      <w:r w:rsidRPr="009E39C0">
        <w:rPr>
          <w:rFonts w:ascii="Times New Roman" w:hAnsi="Times New Roman" w:cs="Times New Roman"/>
          <w:sz w:val="24"/>
          <w:szCs w:val="24"/>
        </w:rPr>
        <w:t xml:space="preserve">2018 WL 1166091 *3 (D.S.C. Mar. 6, 2018) (noting that South Carolina has not recognized the post-sale duty); </w:t>
      </w:r>
      <w:r w:rsidRPr="00F1148D">
        <w:rPr>
          <w:rFonts w:ascii="Times New Roman" w:hAnsi="Times New Roman" w:cs="Times New Roman"/>
          <w:i/>
          <w:sz w:val="24"/>
          <w:szCs w:val="24"/>
        </w:rPr>
        <w:t>Campbell v. Gala Industries Inc.,</w:t>
      </w:r>
      <w:r w:rsidRPr="009E39C0">
        <w:rPr>
          <w:rFonts w:ascii="Times New Roman" w:hAnsi="Times New Roman" w:cs="Times New Roman"/>
          <w:sz w:val="24"/>
          <w:szCs w:val="24"/>
        </w:rPr>
        <w:t xml:space="preserve"> </w:t>
      </w:r>
      <w:hyperlink r:id="rId18" w:history="1">
        <w:r w:rsidRPr="009E39C0">
          <w:rPr>
            <w:rFonts w:ascii="Times New Roman" w:hAnsi="Times New Roman" w:cs="Times New Roman"/>
            <w:sz w:val="24"/>
            <w:szCs w:val="24"/>
          </w:rPr>
          <w:t>2006 WL 1073796, *5 (D.S.C. Apr. 20, 2006)</w:t>
        </w:r>
      </w:hyperlink>
      <w:r w:rsidRPr="009E39C0">
        <w:rPr>
          <w:rFonts w:ascii="Times New Roman" w:hAnsi="Times New Roman" w:cs="Times New Roman"/>
          <w:sz w:val="24"/>
          <w:szCs w:val="24"/>
        </w:rPr>
        <w:t xml:space="preserve"> (noting that while the South Carolina Legislature had adopted the </w:t>
      </w:r>
      <w:r w:rsidRPr="00F1148D">
        <w:rPr>
          <w:rFonts w:ascii="Times New Roman" w:hAnsi="Times New Roman" w:cs="Times New Roman"/>
          <w:i/>
          <w:sz w:val="24"/>
          <w:szCs w:val="24"/>
        </w:rPr>
        <w:t>Restatement (Second) of Torts</w:t>
      </w:r>
      <w:r w:rsidRPr="009E39C0">
        <w:rPr>
          <w:rFonts w:ascii="Times New Roman" w:hAnsi="Times New Roman" w:cs="Times New Roman"/>
          <w:sz w:val="24"/>
          <w:szCs w:val="24"/>
        </w:rPr>
        <w:t xml:space="preserve"> it had not adopted the post-sale duty to warn provision)</w:t>
      </w:r>
      <w:r w:rsidR="001773A3" w:rsidRPr="009E39C0">
        <w:rPr>
          <w:rFonts w:ascii="Times New Roman" w:hAnsi="Times New Roman" w:cs="Times New Roman"/>
          <w:sz w:val="24"/>
          <w:szCs w:val="24"/>
        </w:rPr>
        <w:t xml:space="preserve">.  </w:t>
      </w:r>
      <w:r w:rsidR="008F4384" w:rsidRPr="009E39C0">
        <w:rPr>
          <w:rFonts w:ascii="Times New Roman" w:hAnsi="Times New Roman" w:cs="Times New Roman"/>
          <w:sz w:val="24"/>
          <w:szCs w:val="24"/>
        </w:rPr>
        <w:t>Texas has not recognized a general duty to warn of product defects not discovered until after manufacture and sale. </w:t>
      </w:r>
      <w:r w:rsidR="008F4384" w:rsidRPr="00F1148D">
        <w:rPr>
          <w:rFonts w:ascii="Times New Roman" w:hAnsi="Times New Roman" w:cs="Times New Roman"/>
          <w:i/>
          <w:sz w:val="24"/>
          <w:szCs w:val="24"/>
        </w:rPr>
        <w:t>See</w:t>
      </w:r>
      <w:r w:rsidR="008F4384" w:rsidRPr="009E39C0">
        <w:rPr>
          <w:rFonts w:ascii="Times New Roman" w:hAnsi="Times New Roman" w:cs="Times New Roman"/>
          <w:sz w:val="24"/>
          <w:szCs w:val="24"/>
        </w:rPr>
        <w:t> </w:t>
      </w:r>
      <w:hyperlink r:id="rId19" w:history="1">
        <w:r w:rsidR="008F4384" w:rsidRPr="00F1148D">
          <w:rPr>
            <w:rFonts w:ascii="Times New Roman" w:hAnsi="Times New Roman" w:cs="Times New Roman"/>
            <w:i/>
            <w:sz w:val="24"/>
            <w:szCs w:val="24"/>
          </w:rPr>
          <w:t>Torrington Co. v. Stutzman</w:t>
        </w:r>
        <w:r w:rsidR="008F4384" w:rsidRPr="009E39C0">
          <w:rPr>
            <w:rFonts w:ascii="Times New Roman" w:hAnsi="Times New Roman" w:cs="Times New Roman"/>
            <w:sz w:val="24"/>
            <w:szCs w:val="24"/>
          </w:rPr>
          <w:t>, 46 S.W.3d 829, 836 (Tex. 2000)</w:t>
        </w:r>
      </w:hyperlink>
      <w:r w:rsidR="008F4384" w:rsidRPr="009E39C0">
        <w:rPr>
          <w:rFonts w:ascii="Times New Roman" w:hAnsi="Times New Roman" w:cs="Times New Roman"/>
          <w:sz w:val="24"/>
          <w:szCs w:val="24"/>
        </w:rPr>
        <w:t> (stating "we are not called on to recognize any post-sale duty to warn").</w:t>
      </w:r>
      <w:r w:rsidR="00EA6B0B" w:rsidRPr="009E39C0">
        <w:rPr>
          <w:rFonts w:ascii="Times New Roman" w:hAnsi="Times New Roman" w:cs="Times New Roman"/>
          <w:sz w:val="24"/>
          <w:szCs w:val="24"/>
        </w:rPr>
        <w:t xml:space="preserve">  </w:t>
      </w:r>
      <w:r w:rsidR="001773A3" w:rsidRPr="009E39C0">
        <w:rPr>
          <w:rFonts w:ascii="Times New Roman" w:hAnsi="Times New Roman" w:cs="Times New Roman"/>
          <w:sz w:val="24"/>
          <w:szCs w:val="24"/>
        </w:rPr>
        <w:t xml:space="preserve">Neither has Indiana.  </w:t>
      </w:r>
      <w:r w:rsidR="001773A3" w:rsidRPr="00F1148D">
        <w:rPr>
          <w:rFonts w:ascii="Times New Roman" w:hAnsi="Times New Roman" w:cs="Times New Roman"/>
          <w:i/>
          <w:sz w:val="24"/>
          <w:szCs w:val="24"/>
        </w:rPr>
        <w:t>See</w:t>
      </w:r>
      <w:r w:rsidR="001773A3" w:rsidRPr="00F1148D">
        <w:rPr>
          <w:rFonts w:ascii="Times New Roman" w:hAnsi="Times New Roman" w:cs="Times New Roman"/>
          <w:sz w:val="24"/>
          <w:szCs w:val="24"/>
        </w:rPr>
        <w:t xml:space="preserve"> </w:t>
      </w:r>
      <w:r w:rsidR="008F4384" w:rsidRPr="00F1148D">
        <w:rPr>
          <w:rFonts w:ascii="Times New Roman" w:hAnsi="Times New Roman" w:cs="Times New Roman"/>
          <w:i/>
          <w:sz w:val="24"/>
          <w:szCs w:val="24"/>
        </w:rPr>
        <w:t>Timm v. Goodyear Dunlop Tires No. Am. Ltd</w:t>
      </w:r>
      <w:r w:rsidR="008F4384" w:rsidRPr="009E39C0">
        <w:rPr>
          <w:rFonts w:ascii="Times New Roman" w:hAnsi="Times New Roman" w:cs="Times New Roman"/>
          <w:sz w:val="24"/>
          <w:szCs w:val="24"/>
        </w:rPr>
        <w:t>. 309 F. Supp. 3d 595, 602 (N.D. Ind. 2018) (stating “Indiana courts haven't recognized a post-sale duty to warn under the IPLA”)</w:t>
      </w:r>
      <w:r w:rsidR="00C55CF8">
        <w:rPr>
          <w:rFonts w:ascii="Times New Roman" w:hAnsi="Times New Roman" w:cs="Times New Roman"/>
          <w:sz w:val="24"/>
          <w:szCs w:val="24"/>
        </w:rPr>
        <w:t xml:space="preserve">, </w:t>
      </w:r>
      <w:r w:rsidR="00C55CF8" w:rsidRPr="00C55CF8">
        <w:rPr>
          <w:rFonts w:ascii="Times New Roman" w:hAnsi="Times New Roman" w:cs="Times New Roman"/>
          <w:i/>
          <w:sz w:val="24"/>
          <w:szCs w:val="24"/>
        </w:rPr>
        <w:t>appeal pending</w:t>
      </w:r>
      <w:r w:rsidR="008F4384" w:rsidRPr="009E39C0">
        <w:rPr>
          <w:rFonts w:ascii="Times New Roman" w:hAnsi="Times New Roman" w:cs="Times New Roman"/>
          <w:sz w:val="24"/>
          <w:szCs w:val="24"/>
        </w:rPr>
        <w:t>.</w:t>
      </w:r>
      <w:r w:rsidR="001773A3" w:rsidRPr="009E39C0">
        <w:rPr>
          <w:rFonts w:ascii="Times New Roman" w:hAnsi="Times New Roman" w:cs="Times New Roman"/>
          <w:sz w:val="24"/>
          <w:szCs w:val="24"/>
        </w:rPr>
        <w:t xml:space="preserve">  Nor has Mississippi.  </w:t>
      </w:r>
      <w:r w:rsidR="001773A3" w:rsidRPr="00F1148D">
        <w:rPr>
          <w:rFonts w:ascii="Times New Roman" w:hAnsi="Times New Roman" w:cs="Times New Roman"/>
          <w:i/>
          <w:sz w:val="24"/>
          <w:szCs w:val="24"/>
        </w:rPr>
        <w:t>See</w:t>
      </w:r>
      <w:r w:rsidR="001773A3" w:rsidRPr="009E39C0">
        <w:rPr>
          <w:rFonts w:ascii="Times New Roman" w:hAnsi="Times New Roman" w:cs="Times New Roman"/>
          <w:sz w:val="24"/>
          <w:szCs w:val="24"/>
        </w:rPr>
        <w:t xml:space="preserve"> </w:t>
      </w:r>
      <w:hyperlink r:id="rId20" w:history="1">
        <w:r w:rsidR="008F4384" w:rsidRPr="00F1148D">
          <w:rPr>
            <w:rFonts w:ascii="Times New Roman" w:hAnsi="Times New Roman" w:cs="Times New Roman"/>
            <w:i/>
            <w:sz w:val="24"/>
            <w:szCs w:val="24"/>
          </w:rPr>
          <w:t>Murray v. General Motors,</w:t>
        </w:r>
        <w:r w:rsidR="008F4384" w:rsidRPr="009E39C0">
          <w:rPr>
            <w:rFonts w:ascii="Times New Roman" w:hAnsi="Times New Roman" w:cs="Times New Roman"/>
            <w:sz w:val="24"/>
            <w:szCs w:val="24"/>
          </w:rPr>
          <w:t xml:space="preserve"> </w:t>
        </w:r>
        <w:r w:rsidR="008F4384" w:rsidRPr="00F1148D">
          <w:rPr>
            <w:rFonts w:ascii="Times New Roman" w:hAnsi="Times New Roman" w:cs="Times New Roman"/>
            <w:i/>
            <w:sz w:val="24"/>
            <w:szCs w:val="24"/>
          </w:rPr>
          <w:t>LLC,</w:t>
        </w:r>
        <w:r w:rsidR="008F4384" w:rsidRPr="009E39C0">
          <w:rPr>
            <w:rFonts w:ascii="Times New Roman" w:hAnsi="Times New Roman" w:cs="Times New Roman"/>
            <w:sz w:val="24"/>
            <w:szCs w:val="24"/>
          </w:rPr>
          <w:t> 478 Fed. App'x 175, 182 (5th Cir. 2012)</w:t>
        </w:r>
      </w:hyperlink>
      <w:r w:rsidR="008F4384" w:rsidRPr="009E39C0">
        <w:rPr>
          <w:rFonts w:ascii="Times New Roman" w:hAnsi="Times New Roman" w:cs="Times New Roman"/>
          <w:sz w:val="24"/>
          <w:szCs w:val="24"/>
        </w:rPr>
        <w:t> (stating there is no post-sale duty to warn under Mississippi law)</w:t>
      </w:r>
      <w:r w:rsidR="001773A3" w:rsidRPr="009E39C0">
        <w:rPr>
          <w:rFonts w:ascii="Times New Roman" w:hAnsi="Times New Roman" w:cs="Times New Roman"/>
          <w:sz w:val="24"/>
          <w:szCs w:val="24"/>
        </w:rPr>
        <w:t xml:space="preserve">; </w:t>
      </w:r>
      <w:r w:rsidR="00EA6B0B" w:rsidRPr="009E39C0">
        <w:rPr>
          <w:rFonts w:ascii="Times New Roman" w:hAnsi="Times New Roman" w:cs="Times New Roman"/>
          <w:sz w:val="24"/>
          <w:szCs w:val="24"/>
        </w:rPr>
        <w:t xml:space="preserve">and </w:t>
      </w:r>
      <w:r w:rsidR="001773A3" w:rsidRPr="00F1148D">
        <w:rPr>
          <w:rFonts w:ascii="Times New Roman" w:hAnsi="Times New Roman" w:cs="Times New Roman"/>
          <w:i/>
          <w:sz w:val="24"/>
          <w:szCs w:val="24"/>
        </w:rPr>
        <w:t>Palmer v. Volkswagen of America, Inc.,</w:t>
      </w:r>
      <w:r w:rsidR="001773A3" w:rsidRPr="009E39C0">
        <w:rPr>
          <w:rFonts w:ascii="Times New Roman" w:hAnsi="Times New Roman" w:cs="Times New Roman"/>
          <w:sz w:val="24"/>
          <w:szCs w:val="24"/>
        </w:rPr>
        <w:t xml:space="preserve"> 905 So. 2d 564, 601 (Miss. App. 2003) (ruling no post-sale duty existed under the MPLA even though the manufacturer knew that air bags were killing children).</w:t>
      </w:r>
    </w:p>
    <w:p w:rsidR="001773A3" w:rsidRPr="009E39C0" w:rsidRDefault="001773A3" w:rsidP="001773A3">
      <w:pPr>
        <w:spacing w:after="0" w:line="240" w:lineRule="auto"/>
        <w:jc w:val="both"/>
        <w:rPr>
          <w:rFonts w:ascii="Times New Roman" w:hAnsi="Times New Roman" w:cs="Times New Roman"/>
          <w:sz w:val="24"/>
          <w:szCs w:val="24"/>
        </w:rPr>
      </w:pPr>
    </w:p>
    <w:p w:rsidR="008F4384" w:rsidRPr="009E39C0" w:rsidRDefault="008F4384" w:rsidP="008F4384">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Illinois law </w:t>
      </w:r>
      <w:r w:rsidR="001773A3" w:rsidRPr="009E39C0">
        <w:rPr>
          <w:rFonts w:ascii="Times New Roman" w:hAnsi="Times New Roman" w:cs="Times New Roman"/>
          <w:sz w:val="24"/>
          <w:szCs w:val="24"/>
        </w:rPr>
        <w:t xml:space="preserve">also </w:t>
      </w:r>
      <w:r w:rsidRPr="009E39C0">
        <w:rPr>
          <w:rFonts w:ascii="Times New Roman" w:hAnsi="Times New Roman" w:cs="Times New Roman"/>
          <w:sz w:val="24"/>
          <w:szCs w:val="24"/>
        </w:rPr>
        <w:t xml:space="preserve">does not impose any duty to inform purchasers about defects that arise after the date of sale.  </w:t>
      </w:r>
      <w:r w:rsidR="001773A3" w:rsidRPr="00F1148D">
        <w:rPr>
          <w:rFonts w:ascii="Times New Roman" w:hAnsi="Times New Roman" w:cs="Times New Roman"/>
          <w:i/>
          <w:sz w:val="24"/>
          <w:szCs w:val="24"/>
        </w:rPr>
        <w:t xml:space="preserve">See </w:t>
      </w:r>
      <w:hyperlink r:id="rId21" w:history="1">
        <w:r w:rsidRPr="00F1148D">
          <w:rPr>
            <w:rFonts w:ascii="Times New Roman" w:hAnsi="Times New Roman" w:cs="Times New Roman"/>
            <w:i/>
            <w:sz w:val="24"/>
            <w:szCs w:val="24"/>
          </w:rPr>
          <w:t>Jablonski v. Ford Motor Co.</w:t>
        </w:r>
        <w:r w:rsidRPr="009E39C0">
          <w:rPr>
            <w:rFonts w:ascii="Times New Roman" w:hAnsi="Times New Roman" w:cs="Times New Roman"/>
            <w:sz w:val="24"/>
            <w:szCs w:val="24"/>
          </w:rPr>
          <w:t>, 353 Ill. Dec. 327, 955 N.E.2d 1138, 1161-62 (2011)</w:t>
        </w:r>
      </w:hyperlink>
      <w:r w:rsidR="001773A3" w:rsidRPr="009E39C0">
        <w:rPr>
          <w:rFonts w:ascii="Times New Roman" w:hAnsi="Times New Roman" w:cs="Times New Roman"/>
          <w:sz w:val="24"/>
          <w:szCs w:val="24"/>
        </w:rPr>
        <w:t xml:space="preserve">.  Federal courts evaluating state law agree.  </w:t>
      </w:r>
      <w:r w:rsidR="001773A3" w:rsidRPr="00F1148D">
        <w:rPr>
          <w:rFonts w:ascii="Times New Roman" w:hAnsi="Times New Roman" w:cs="Times New Roman"/>
          <w:i/>
          <w:sz w:val="24"/>
          <w:szCs w:val="24"/>
        </w:rPr>
        <w:t>See, e.g.,</w:t>
      </w:r>
      <w:r w:rsidR="001773A3" w:rsidRPr="009E39C0">
        <w:rPr>
          <w:rFonts w:ascii="Times New Roman" w:hAnsi="Times New Roman" w:cs="Times New Roman"/>
          <w:sz w:val="24"/>
          <w:szCs w:val="24"/>
        </w:rPr>
        <w:t xml:space="preserve"> </w:t>
      </w:r>
      <w:hyperlink r:id="rId22" w:history="1">
        <w:r w:rsidRPr="00F1148D">
          <w:rPr>
            <w:rFonts w:ascii="Times New Roman" w:hAnsi="Times New Roman" w:cs="Times New Roman"/>
            <w:i/>
            <w:sz w:val="24"/>
            <w:szCs w:val="24"/>
          </w:rPr>
          <w:t>Estate of Wicker v. Ford Motor Co.,</w:t>
        </w:r>
        <w:r w:rsidRPr="009E39C0">
          <w:rPr>
            <w:rFonts w:ascii="Times New Roman" w:hAnsi="Times New Roman" w:cs="Times New Roman"/>
            <w:sz w:val="24"/>
            <w:szCs w:val="24"/>
          </w:rPr>
          <w:t xml:space="preserve"> 393 F. Supp. 2d 1229, 1236 (W.D. Okla. 2005)</w:t>
        </w:r>
      </w:hyperlink>
      <w:r w:rsidRPr="009E39C0">
        <w:rPr>
          <w:rFonts w:ascii="Times New Roman" w:hAnsi="Times New Roman" w:cs="Times New Roman"/>
          <w:sz w:val="24"/>
          <w:szCs w:val="24"/>
        </w:rPr>
        <w:t xml:space="preserve"> (stating "Oklahoma does not recognize a post-sale duty to warn or retrofit a product.")</w:t>
      </w:r>
      <w:r w:rsidR="001773A3" w:rsidRPr="009E39C0">
        <w:rPr>
          <w:rFonts w:ascii="Times New Roman" w:hAnsi="Times New Roman" w:cs="Times New Roman"/>
          <w:sz w:val="24"/>
          <w:szCs w:val="24"/>
        </w:rPr>
        <w:t xml:space="preserve">; </w:t>
      </w:r>
      <w:r w:rsidRPr="00F1148D">
        <w:rPr>
          <w:rFonts w:ascii="Times New Roman" w:hAnsi="Times New Roman" w:cs="Times New Roman"/>
          <w:i/>
          <w:sz w:val="24"/>
          <w:szCs w:val="24"/>
        </w:rPr>
        <w:t xml:space="preserve">Vallejo v. Amgen, Inc., </w:t>
      </w:r>
      <w:r w:rsidRPr="009E39C0">
        <w:rPr>
          <w:rFonts w:ascii="Times New Roman" w:hAnsi="Times New Roman" w:cs="Times New Roman"/>
          <w:sz w:val="24"/>
          <w:szCs w:val="24"/>
        </w:rPr>
        <w:t>2014 WL 4922901 *4 (D. Neb. Sept. 29, 2014) (predicting that the Nebraska Supreme Court would not impose a post-sale duty-to-warn on product manufacturers)</w:t>
      </w:r>
      <w:r w:rsidR="001773A3" w:rsidRPr="009E39C0">
        <w:rPr>
          <w:rFonts w:ascii="Times New Roman" w:hAnsi="Times New Roman" w:cs="Times New Roman"/>
          <w:sz w:val="24"/>
          <w:szCs w:val="24"/>
        </w:rPr>
        <w:t xml:space="preserve">; and </w:t>
      </w:r>
      <w:r w:rsidRPr="00F1148D">
        <w:rPr>
          <w:rFonts w:ascii="Times New Roman" w:hAnsi="Times New Roman" w:cs="Times New Roman"/>
          <w:i/>
          <w:sz w:val="24"/>
          <w:szCs w:val="24"/>
        </w:rPr>
        <w:t>Bachtel v. Taser Int’l, Inc.,</w:t>
      </w:r>
      <w:r w:rsidRPr="009E39C0">
        <w:rPr>
          <w:rFonts w:ascii="Times New Roman" w:hAnsi="Times New Roman" w:cs="Times New Roman"/>
          <w:sz w:val="24"/>
          <w:szCs w:val="24"/>
        </w:rPr>
        <w:t xml:space="preserve"> 2013 WL 317538 *6 (E.D. Mo. Jan. 28, 2013) (stating “there is no post-sale duty to warn under Missouri law”)</w:t>
      </w:r>
      <w:r w:rsidR="00F1148D">
        <w:rPr>
          <w:rFonts w:ascii="Times New Roman" w:hAnsi="Times New Roman" w:cs="Times New Roman"/>
          <w:sz w:val="24"/>
          <w:szCs w:val="24"/>
        </w:rPr>
        <w:t>.</w:t>
      </w:r>
    </w:p>
    <w:p w:rsidR="0099264C" w:rsidRPr="00E775AA" w:rsidRDefault="0099264C" w:rsidP="001773A3">
      <w:pPr>
        <w:spacing w:line="240" w:lineRule="auto"/>
        <w:jc w:val="center"/>
        <w:rPr>
          <w:rFonts w:ascii="Times New Roman" w:hAnsi="Times New Roman" w:cs="Times New Roman"/>
          <w:sz w:val="24"/>
          <w:szCs w:val="24"/>
          <w:u w:val="single"/>
        </w:rPr>
      </w:pPr>
      <w:r w:rsidRPr="00E775AA">
        <w:rPr>
          <w:rFonts w:ascii="Times New Roman" w:hAnsi="Times New Roman" w:cs="Times New Roman"/>
          <w:sz w:val="24"/>
          <w:szCs w:val="24"/>
          <w:u w:val="single"/>
        </w:rPr>
        <w:t>Undecided Jurisdictions</w:t>
      </w:r>
    </w:p>
    <w:p w:rsidR="000A1E8F" w:rsidRPr="009E39C0" w:rsidRDefault="00D200A1" w:rsidP="00513E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Some states remain undecided.  </w:t>
      </w:r>
      <w:r w:rsidRPr="00F1148D">
        <w:rPr>
          <w:rFonts w:ascii="Times New Roman" w:hAnsi="Times New Roman" w:cs="Times New Roman"/>
          <w:i/>
          <w:sz w:val="24"/>
          <w:szCs w:val="24"/>
        </w:rPr>
        <w:t>See,</w:t>
      </w:r>
      <w:r w:rsidRPr="009E39C0">
        <w:rPr>
          <w:rFonts w:ascii="Times New Roman" w:hAnsi="Times New Roman" w:cs="Times New Roman"/>
          <w:sz w:val="24"/>
          <w:szCs w:val="24"/>
        </w:rPr>
        <w:t xml:space="preserve"> </w:t>
      </w:r>
      <w:r w:rsidRPr="00F1148D">
        <w:rPr>
          <w:rFonts w:ascii="Times New Roman" w:hAnsi="Times New Roman" w:cs="Times New Roman"/>
          <w:i/>
          <w:sz w:val="24"/>
          <w:szCs w:val="24"/>
        </w:rPr>
        <w:t xml:space="preserve">e.g., </w:t>
      </w:r>
      <w:r w:rsidR="0099264C" w:rsidRPr="00F1148D">
        <w:rPr>
          <w:rFonts w:ascii="Times New Roman" w:hAnsi="Times New Roman" w:cs="Times New Roman"/>
          <w:i/>
          <w:sz w:val="24"/>
          <w:szCs w:val="24"/>
        </w:rPr>
        <w:t>Flax v. DaimlerChrysler Corp.,</w:t>
      </w:r>
      <w:r w:rsidR="0099264C" w:rsidRPr="009E39C0">
        <w:rPr>
          <w:rFonts w:ascii="Times New Roman" w:hAnsi="Times New Roman" w:cs="Times New Roman"/>
          <w:sz w:val="24"/>
          <w:szCs w:val="24"/>
        </w:rPr>
        <w:t xml:space="preserve"> 272 SW 3d 521, 542 (Tenn. 2008) (stating “[w]e express no opinion, however, as to the merits of recognizing that cause of action in an appropriate case”).</w:t>
      </w:r>
      <w:r w:rsidRPr="009E39C0">
        <w:rPr>
          <w:rFonts w:ascii="Times New Roman" w:hAnsi="Times New Roman" w:cs="Times New Roman"/>
          <w:sz w:val="24"/>
          <w:szCs w:val="24"/>
        </w:rPr>
        <w:t xml:space="preserve">  Virginia federal courts have called it both ways.  </w:t>
      </w:r>
      <w:r w:rsidRPr="00F1148D">
        <w:rPr>
          <w:rFonts w:ascii="Times New Roman" w:hAnsi="Times New Roman" w:cs="Times New Roman"/>
          <w:i/>
          <w:sz w:val="24"/>
          <w:szCs w:val="24"/>
        </w:rPr>
        <w:t>Compare Estate of Kimmel v. Clark Equip. Co.</w:t>
      </w:r>
      <w:r w:rsidRPr="009E39C0">
        <w:rPr>
          <w:rFonts w:ascii="Times New Roman" w:hAnsi="Times New Roman" w:cs="Times New Roman"/>
          <w:sz w:val="24"/>
          <w:szCs w:val="24"/>
        </w:rPr>
        <w:t xml:space="preserve">, 773 F. Supp. 828, 831 (W.D. Va. 1991) </w:t>
      </w:r>
      <w:r w:rsidR="00D510A3" w:rsidRPr="009E39C0">
        <w:rPr>
          <w:rFonts w:ascii="Times New Roman" w:hAnsi="Times New Roman" w:cs="Times New Roman"/>
          <w:sz w:val="24"/>
          <w:szCs w:val="24"/>
        </w:rPr>
        <w:t xml:space="preserve">(concluding the duty ends at the point of manufacturer or sale) </w:t>
      </w:r>
      <w:r w:rsidRPr="00F1148D">
        <w:rPr>
          <w:rFonts w:ascii="Times New Roman" w:hAnsi="Times New Roman" w:cs="Times New Roman"/>
          <w:i/>
          <w:sz w:val="24"/>
          <w:szCs w:val="24"/>
        </w:rPr>
        <w:t xml:space="preserve">with </w:t>
      </w:r>
      <w:r w:rsidR="0099264C" w:rsidRPr="00F1148D">
        <w:rPr>
          <w:rFonts w:ascii="Times New Roman" w:hAnsi="Times New Roman" w:cs="Times New Roman"/>
          <w:i/>
          <w:sz w:val="24"/>
          <w:szCs w:val="24"/>
        </w:rPr>
        <w:t xml:space="preserve">Powell v. Diehl Woodworking Machinery, Inc., </w:t>
      </w:r>
      <w:r w:rsidR="0099264C" w:rsidRPr="009E39C0">
        <w:rPr>
          <w:rFonts w:ascii="Times New Roman" w:hAnsi="Times New Roman" w:cs="Times New Roman"/>
          <w:sz w:val="24"/>
          <w:szCs w:val="24"/>
        </w:rPr>
        <w:t>198 F. Supp. 3d 628</w:t>
      </w:r>
      <w:r w:rsidR="00D510A3" w:rsidRPr="009E39C0">
        <w:rPr>
          <w:rFonts w:ascii="Times New Roman" w:hAnsi="Times New Roman" w:cs="Times New Roman"/>
          <w:sz w:val="24"/>
          <w:szCs w:val="24"/>
        </w:rPr>
        <w:t>, 634-635</w:t>
      </w:r>
      <w:r w:rsidR="0099264C" w:rsidRPr="009E39C0">
        <w:rPr>
          <w:rFonts w:ascii="Times New Roman" w:hAnsi="Times New Roman" w:cs="Times New Roman"/>
          <w:sz w:val="24"/>
          <w:szCs w:val="24"/>
        </w:rPr>
        <w:t xml:space="preserve"> (E.D. Va. 2016) (</w:t>
      </w:r>
      <w:r w:rsidRPr="009E39C0">
        <w:rPr>
          <w:rFonts w:ascii="Times New Roman" w:hAnsi="Times New Roman" w:cs="Times New Roman"/>
          <w:sz w:val="24"/>
          <w:szCs w:val="24"/>
        </w:rPr>
        <w:t>presum</w:t>
      </w:r>
      <w:r w:rsidR="0099264C" w:rsidRPr="009E39C0">
        <w:rPr>
          <w:rFonts w:ascii="Times New Roman" w:hAnsi="Times New Roman" w:cs="Times New Roman"/>
          <w:sz w:val="24"/>
          <w:szCs w:val="24"/>
        </w:rPr>
        <w:t>ing Virgin</w:t>
      </w:r>
      <w:r w:rsidR="00A92107" w:rsidRPr="009E39C0">
        <w:rPr>
          <w:rFonts w:ascii="Times New Roman" w:hAnsi="Times New Roman" w:cs="Times New Roman"/>
          <w:sz w:val="24"/>
          <w:szCs w:val="24"/>
        </w:rPr>
        <w:t>i</w:t>
      </w:r>
      <w:r w:rsidR="0099264C" w:rsidRPr="009E39C0">
        <w:rPr>
          <w:rFonts w:ascii="Times New Roman" w:hAnsi="Times New Roman" w:cs="Times New Roman"/>
          <w:sz w:val="24"/>
          <w:szCs w:val="24"/>
        </w:rPr>
        <w:t xml:space="preserve">a </w:t>
      </w:r>
      <w:r w:rsidRPr="009E39C0">
        <w:rPr>
          <w:rFonts w:ascii="Times New Roman" w:hAnsi="Times New Roman" w:cs="Times New Roman"/>
          <w:sz w:val="24"/>
          <w:szCs w:val="24"/>
        </w:rPr>
        <w:t>would adopt the duty</w:t>
      </w:r>
      <w:r w:rsidR="0099264C" w:rsidRPr="009E39C0">
        <w:rPr>
          <w:rFonts w:ascii="Times New Roman" w:hAnsi="Times New Roman" w:cs="Times New Roman"/>
          <w:sz w:val="24"/>
          <w:szCs w:val="24"/>
        </w:rPr>
        <w:t>)</w:t>
      </w:r>
      <w:r w:rsidR="00D510A3" w:rsidRPr="009E39C0">
        <w:rPr>
          <w:rFonts w:ascii="Times New Roman" w:hAnsi="Times New Roman" w:cs="Times New Roman"/>
          <w:sz w:val="24"/>
          <w:szCs w:val="24"/>
        </w:rPr>
        <w:t xml:space="preserve"> and </w:t>
      </w:r>
      <w:r w:rsidR="000A1E8F" w:rsidRPr="00F1148D">
        <w:rPr>
          <w:rFonts w:ascii="Times New Roman" w:hAnsi="Times New Roman" w:cs="Times New Roman"/>
          <w:i/>
          <w:sz w:val="24"/>
          <w:szCs w:val="24"/>
        </w:rPr>
        <w:t>Russell v. Wright,</w:t>
      </w:r>
      <w:r w:rsidR="000A1E8F" w:rsidRPr="009E39C0">
        <w:rPr>
          <w:rFonts w:ascii="Times New Roman" w:hAnsi="Times New Roman" w:cs="Times New Roman"/>
          <w:sz w:val="24"/>
          <w:szCs w:val="24"/>
        </w:rPr>
        <w:t xml:space="preserve"> 916 F. Supp. 2d 629</w:t>
      </w:r>
      <w:r w:rsidR="00D510A3" w:rsidRPr="009E39C0">
        <w:rPr>
          <w:rFonts w:ascii="Times New Roman" w:hAnsi="Times New Roman" w:cs="Times New Roman"/>
          <w:sz w:val="24"/>
          <w:szCs w:val="24"/>
        </w:rPr>
        <w:t>, 650</w:t>
      </w:r>
      <w:r w:rsidR="000A1E8F" w:rsidRPr="009E39C0">
        <w:rPr>
          <w:rFonts w:ascii="Times New Roman" w:hAnsi="Times New Roman" w:cs="Times New Roman"/>
          <w:sz w:val="24"/>
          <w:szCs w:val="24"/>
        </w:rPr>
        <w:t xml:space="preserve"> (W.D. Va. 2013) (</w:t>
      </w:r>
      <w:r w:rsidR="00EA6B0B" w:rsidRPr="009E39C0">
        <w:rPr>
          <w:rFonts w:ascii="Times New Roman" w:hAnsi="Times New Roman" w:cs="Times New Roman"/>
          <w:sz w:val="24"/>
          <w:szCs w:val="24"/>
        </w:rPr>
        <w:t>same</w:t>
      </w:r>
      <w:r w:rsidR="000A1E8F" w:rsidRPr="009E39C0">
        <w:rPr>
          <w:rFonts w:ascii="Times New Roman" w:hAnsi="Times New Roman" w:cs="Times New Roman"/>
          <w:sz w:val="24"/>
          <w:szCs w:val="24"/>
        </w:rPr>
        <w:t>)</w:t>
      </w:r>
      <w:r w:rsidR="00D510A3" w:rsidRPr="009E39C0">
        <w:rPr>
          <w:rFonts w:ascii="Times New Roman" w:hAnsi="Times New Roman" w:cs="Times New Roman"/>
          <w:sz w:val="24"/>
          <w:szCs w:val="24"/>
        </w:rPr>
        <w:t>.</w:t>
      </w:r>
    </w:p>
    <w:p w:rsidR="0099264C" w:rsidRPr="009E39C0" w:rsidRDefault="0099264C" w:rsidP="00D510A3">
      <w:pPr>
        <w:spacing w:line="240" w:lineRule="auto"/>
        <w:jc w:val="center"/>
        <w:rPr>
          <w:rFonts w:ascii="Times New Roman" w:hAnsi="Times New Roman" w:cs="Times New Roman"/>
          <w:sz w:val="24"/>
          <w:szCs w:val="24"/>
        </w:rPr>
      </w:pPr>
      <w:r w:rsidRPr="00E775AA">
        <w:rPr>
          <w:rFonts w:ascii="Times New Roman" w:hAnsi="Times New Roman" w:cs="Times New Roman"/>
          <w:sz w:val="24"/>
          <w:szCs w:val="24"/>
          <w:u w:val="single"/>
        </w:rPr>
        <w:t>Can It Extend to Successor Corporation</w:t>
      </w:r>
      <w:r w:rsidR="001B48C9" w:rsidRPr="00E775AA">
        <w:rPr>
          <w:rFonts w:ascii="Times New Roman" w:hAnsi="Times New Roman" w:cs="Times New Roman"/>
          <w:sz w:val="24"/>
          <w:szCs w:val="24"/>
          <w:u w:val="single"/>
        </w:rPr>
        <w:t>s</w:t>
      </w:r>
      <w:r w:rsidRPr="009E39C0">
        <w:rPr>
          <w:rFonts w:ascii="Times New Roman" w:hAnsi="Times New Roman" w:cs="Times New Roman"/>
          <w:sz w:val="24"/>
          <w:szCs w:val="24"/>
        </w:rPr>
        <w:t>?</w:t>
      </w:r>
    </w:p>
    <w:p w:rsidR="00C66715" w:rsidRPr="009E39C0" w:rsidRDefault="00C66715" w:rsidP="00C6671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Courts evaluating whether a sufficient relationship exists between a successor corporation and the predecessor corporation's customers to impose a duty to warn generally consider four factors. These elements include: "(1) succession to a predecessor's service contracts; (2) coverage of the particular machine under the contract; (3) service of that machine by the purchaser-corporation; and (4) the purchaser-corporation's knowledge of defects and of the location or owner of that machine." </w:t>
      </w:r>
      <w:r w:rsidRPr="00F1148D">
        <w:rPr>
          <w:rFonts w:ascii="Times New Roman" w:hAnsi="Times New Roman" w:cs="Times New Roman"/>
          <w:i/>
          <w:sz w:val="24"/>
          <w:szCs w:val="24"/>
        </w:rPr>
        <w:t xml:space="preserve"> Klynsma v. Hydradyne, LLC,</w:t>
      </w:r>
      <w:r w:rsidRPr="009E39C0">
        <w:rPr>
          <w:rFonts w:ascii="Times New Roman" w:hAnsi="Times New Roman" w:cs="Times New Roman"/>
          <w:sz w:val="24"/>
          <w:szCs w:val="24"/>
        </w:rPr>
        <w:t xml:space="preserve"> 2015 WL 5773703 *15 (D.S.D. Sept. 30, 2015) (ruling the successor had no duty to warn of dangers affecting the predecessor’s product).</w:t>
      </w:r>
    </w:p>
    <w:p w:rsidR="0099264C" w:rsidRPr="009E39C0" w:rsidRDefault="00D510A3" w:rsidP="00513E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Authorities also split on the question whether a successor corporation has a duty to warn of product dangers present in products manufactured by the predecessor.  The </w:t>
      </w:r>
      <w:r w:rsidRPr="00C065D3">
        <w:rPr>
          <w:rFonts w:ascii="Times New Roman" w:hAnsi="Times New Roman" w:cs="Times New Roman"/>
          <w:i/>
          <w:sz w:val="24"/>
          <w:szCs w:val="24"/>
        </w:rPr>
        <w:t>Restatement</w:t>
      </w:r>
      <w:r w:rsidRPr="009E39C0">
        <w:rPr>
          <w:rFonts w:ascii="Times New Roman" w:hAnsi="Times New Roman" w:cs="Times New Roman"/>
          <w:sz w:val="24"/>
          <w:szCs w:val="24"/>
        </w:rPr>
        <w:t xml:space="preserve"> suggests the duty may continue.  </w:t>
      </w:r>
      <w:r w:rsidRPr="00C065D3">
        <w:rPr>
          <w:rFonts w:ascii="Times New Roman" w:hAnsi="Times New Roman" w:cs="Times New Roman"/>
          <w:i/>
          <w:sz w:val="24"/>
          <w:szCs w:val="24"/>
        </w:rPr>
        <w:t xml:space="preserve">See </w:t>
      </w:r>
      <w:r w:rsidR="0099264C" w:rsidRPr="00C065D3">
        <w:rPr>
          <w:rFonts w:ascii="Times New Roman" w:hAnsi="Times New Roman" w:cs="Times New Roman"/>
          <w:i/>
          <w:sz w:val="24"/>
          <w:szCs w:val="24"/>
        </w:rPr>
        <w:t xml:space="preserve">Restatement (Third) of Torts: Products Liability </w:t>
      </w:r>
      <w:r w:rsidR="0099264C" w:rsidRPr="009E39C0">
        <w:rPr>
          <w:rFonts w:ascii="Times New Roman" w:hAnsi="Times New Roman" w:cs="Times New Roman"/>
          <w:sz w:val="24"/>
          <w:szCs w:val="24"/>
        </w:rPr>
        <w:t>§ 13 (Am. Law Inst. 1998) (providing in certain circumstances that a "successor corporation or other business entity that acquires assets of a predecessor corporation or other business entity" may be "subject to liability for harm to persons or property caused by the successor's failure to warn of a risk created by a product sold or distributed by the predecessor").</w:t>
      </w:r>
    </w:p>
    <w:p w:rsidR="00C66715" w:rsidRPr="009E39C0" w:rsidRDefault="00D510A3" w:rsidP="00C6671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Court acceptance of extension of the duty differ.  </w:t>
      </w:r>
      <w:r w:rsidR="00E27192" w:rsidRPr="009E39C0">
        <w:rPr>
          <w:rFonts w:ascii="Times New Roman" w:hAnsi="Times New Roman" w:cs="Times New Roman"/>
          <w:sz w:val="24"/>
          <w:szCs w:val="24"/>
        </w:rPr>
        <w:t>Decisions</w:t>
      </w:r>
      <w:r w:rsidRPr="009E39C0">
        <w:rPr>
          <w:rFonts w:ascii="Times New Roman" w:hAnsi="Times New Roman" w:cs="Times New Roman"/>
          <w:sz w:val="24"/>
          <w:szCs w:val="24"/>
        </w:rPr>
        <w:t xml:space="preserve"> on the “</w:t>
      </w:r>
      <w:r w:rsidR="0099264C" w:rsidRPr="009E39C0">
        <w:rPr>
          <w:rFonts w:ascii="Times New Roman" w:hAnsi="Times New Roman" w:cs="Times New Roman"/>
          <w:sz w:val="24"/>
          <w:szCs w:val="24"/>
        </w:rPr>
        <w:t>Yes</w:t>
      </w:r>
      <w:r w:rsidRPr="009E39C0">
        <w:rPr>
          <w:rFonts w:ascii="Times New Roman" w:hAnsi="Times New Roman" w:cs="Times New Roman"/>
          <w:sz w:val="24"/>
          <w:szCs w:val="24"/>
        </w:rPr>
        <w:t>” side include</w:t>
      </w:r>
      <w:r w:rsidR="0099264C" w:rsidRPr="00C065D3">
        <w:rPr>
          <w:rFonts w:ascii="Times New Roman" w:hAnsi="Times New Roman" w:cs="Times New Roman"/>
          <w:i/>
          <w:sz w:val="24"/>
          <w:szCs w:val="24"/>
        </w:rPr>
        <w:t xml:space="preserve"> In Re General Motors LLC Ignition Switch Litig.</w:t>
      </w:r>
      <w:r w:rsidR="0099264C" w:rsidRPr="009E39C0">
        <w:rPr>
          <w:rFonts w:ascii="Times New Roman" w:hAnsi="Times New Roman" w:cs="Times New Roman"/>
          <w:sz w:val="24"/>
          <w:szCs w:val="24"/>
        </w:rPr>
        <w:t xml:space="preserve">, </w:t>
      </w:r>
      <w:r w:rsidR="00321C0F" w:rsidRPr="009E39C0">
        <w:rPr>
          <w:rFonts w:ascii="Times New Roman" w:hAnsi="Times New Roman" w:cs="Times New Roman"/>
          <w:sz w:val="24"/>
          <w:szCs w:val="24"/>
        </w:rPr>
        <w:t xml:space="preserve">2017 WL 2664199 *8 </w:t>
      </w:r>
      <w:r w:rsidR="0099264C" w:rsidRPr="009E39C0">
        <w:rPr>
          <w:rFonts w:ascii="Times New Roman" w:hAnsi="Times New Roman" w:cs="Times New Roman"/>
          <w:sz w:val="24"/>
          <w:szCs w:val="24"/>
        </w:rPr>
        <w:t xml:space="preserve">(S.D.N.Y. </w:t>
      </w:r>
      <w:r w:rsidR="00513E25" w:rsidRPr="009E39C0">
        <w:rPr>
          <w:rFonts w:ascii="Times New Roman" w:hAnsi="Times New Roman" w:cs="Times New Roman"/>
          <w:sz w:val="24"/>
          <w:szCs w:val="24"/>
        </w:rPr>
        <w:t xml:space="preserve">June 20, </w:t>
      </w:r>
      <w:r w:rsidR="0099264C" w:rsidRPr="009E39C0">
        <w:rPr>
          <w:rFonts w:ascii="Times New Roman" w:hAnsi="Times New Roman" w:cs="Times New Roman"/>
          <w:sz w:val="24"/>
          <w:szCs w:val="24"/>
        </w:rPr>
        <w:t xml:space="preserve">2017) (predicting Arizona would adopt </w:t>
      </w:r>
      <w:r w:rsidR="0099264C" w:rsidRPr="00C065D3">
        <w:rPr>
          <w:rFonts w:ascii="Times New Roman" w:hAnsi="Times New Roman" w:cs="Times New Roman"/>
          <w:i/>
          <w:sz w:val="24"/>
          <w:szCs w:val="24"/>
        </w:rPr>
        <w:t>Restatement</w:t>
      </w:r>
      <w:r w:rsidR="0099264C" w:rsidRPr="009E39C0">
        <w:rPr>
          <w:rFonts w:ascii="Times New Roman" w:hAnsi="Times New Roman" w:cs="Times New Roman"/>
          <w:sz w:val="24"/>
          <w:szCs w:val="24"/>
        </w:rPr>
        <w:t xml:space="preserve"> §13 on post-sale duty to warn of a successor corporation or asset purchaser); </w:t>
      </w:r>
      <w:r w:rsidR="0099264C" w:rsidRPr="00C065D3">
        <w:rPr>
          <w:rFonts w:ascii="Times New Roman" w:hAnsi="Times New Roman" w:cs="Times New Roman"/>
          <w:i/>
          <w:sz w:val="24"/>
          <w:szCs w:val="24"/>
        </w:rPr>
        <w:t>In re: Gen. Motors LLC Ignition Switch Litig.,</w:t>
      </w:r>
      <w:r w:rsidR="0099264C" w:rsidRPr="009E39C0">
        <w:rPr>
          <w:rFonts w:ascii="Times New Roman" w:hAnsi="Times New Roman" w:cs="Times New Roman"/>
          <w:sz w:val="24"/>
          <w:szCs w:val="24"/>
        </w:rPr>
        <w:t> 154 F. Supp. 3d 30, 37-41 (S.D.N.Y. 2015) (</w:t>
      </w:r>
      <w:r w:rsidR="00494C6B" w:rsidRPr="009E39C0">
        <w:rPr>
          <w:rFonts w:ascii="Times New Roman" w:hAnsi="Times New Roman" w:cs="Times New Roman"/>
          <w:sz w:val="24"/>
          <w:szCs w:val="24"/>
        </w:rPr>
        <w:t>p</w:t>
      </w:r>
      <w:r w:rsidR="0099264C" w:rsidRPr="009E39C0">
        <w:rPr>
          <w:rFonts w:ascii="Times New Roman" w:hAnsi="Times New Roman" w:cs="Times New Roman"/>
          <w:sz w:val="24"/>
          <w:szCs w:val="24"/>
        </w:rPr>
        <w:t xml:space="preserve">redicting Oklahoma would adopt the duty); </w:t>
      </w:r>
      <w:r w:rsidR="0099264C" w:rsidRPr="00C065D3">
        <w:rPr>
          <w:rFonts w:ascii="Times New Roman" w:hAnsi="Times New Roman" w:cs="Times New Roman"/>
          <w:i/>
          <w:sz w:val="24"/>
          <w:szCs w:val="24"/>
        </w:rPr>
        <w:t>In re: Gen. Motors LLC Ignition Switch Litig.,</w:t>
      </w:r>
      <w:r w:rsidR="0099264C" w:rsidRPr="009E39C0">
        <w:rPr>
          <w:rFonts w:ascii="Times New Roman" w:hAnsi="Times New Roman" w:cs="Times New Roman"/>
          <w:sz w:val="24"/>
          <w:szCs w:val="24"/>
        </w:rPr>
        <w:t xml:space="preserve">  202 F. Supp. 3d </w:t>
      </w:r>
      <w:r w:rsidR="00494C6B" w:rsidRPr="009E39C0">
        <w:rPr>
          <w:rFonts w:ascii="Times New Roman" w:hAnsi="Times New Roman" w:cs="Times New Roman"/>
          <w:sz w:val="24"/>
          <w:szCs w:val="24"/>
        </w:rPr>
        <w:t xml:space="preserve">362, </w:t>
      </w:r>
      <w:r w:rsidR="0099264C" w:rsidRPr="009E39C0">
        <w:rPr>
          <w:rFonts w:ascii="Times New Roman" w:hAnsi="Times New Roman" w:cs="Times New Roman"/>
          <w:sz w:val="24"/>
          <w:szCs w:val="24"/>
        </w:rPr>
        <w:t xml:space="preserve">365-72 (S.D.N.Y. </w:t>
      </w:r>
      <w:r w:rsidR="00494C6B" w:rsidRPr="009E39C0">
        <w:rPr>
          <w:rFonts w:ascii="Times New Roman" w:hAnsi="Times New Roman" w:cs="Times New Roman"/>
          <w:sz w:val="24"/>
          <w:szCs w:val="24"/>
        </w:rPr>
        <w:t>Aug. 15, 2016</w:t>
      </w:r>
      <w:r w:rsidR="0099264C" w:rsidRPr="009E39C0">
        <w:rPr>
          <w:rFonts w:ascii="Times New Roman" w:hAnsi="Times New Roman" w:cs="Times New Roman"/>
          <w:sz w:val="24"/>
          <w:szCs w:val="24"/>
        </w:rPr>
        <w:t>) (predicting Virginia would adopt the duty)</w:t>
      </w:r>
      <w:r w:rsidR="00E27192" w:rsidRPr="009E39C0">
        <w:rPr>
          <w:rFonts w:ascii="Times New Roman" w:hAnsi="Times New Roman" w:cs="Times New Roman"/>
          <w:sz w:val="24"/>
          <w:szCs w:val="24"/>
        </w:rPr>
        <w:t xml:space="preserve">; </w:t>
      </w:r>
      <w:r w:rsidR="00E27192" w:rsidRPr="00C065D3">
        <w:rPr>
          <w:rFonts w:ascii="Times New Roman" w:hAnsi="Times New Roman" w:cs="Times New Roman"/>
          <w:i/>
          <w:sz w:val="24"/>
          <w:szCs w:val="24"/>
        </w:rPr>
        <w:t>Tabor v. Metal Ware Corp.,</w:t>
      </w:r>
      <w:r w:rsidR="00E27192" w:rsidRPr="009E39C0">
        <w:rPr>
          <w:rFonts w:ascii="Times New Roman" w:hAnsi="Times New Roman" w:cs="Times New Roman"/>
          <w:sz w:val="24"/>
          <w:szCs w:val="24"/>
        </w:rPr>
        <w:t xml:space="preserve"> 2007 UT 71, 168 P.3d 814, 816, 818 (2007) relying upon Section 13 and adding the duty extends to end users and not merely retail distributors)</w:t>
      </w:r>
      <w:r w:rsidR="00C66715" w:rsidRPr="009E39C0">
        <w:rPr>
          <w:rFonts w:ascii="Times New Roman" w:hAnsi="Times New Roman" w:cs="Times New Roman"/>
          <w:sz w:val="24"/>
          <w:szCs w:val="24"/>
        </w:rPr>
        <w:t xml:space="preserve">; </w:t>
      </w:r>
      <w:r w:rsidR="00C66715" w:rsidRPr="00C065D3">
        <w:rPr>
          <w:rFonts w:ascii="Times New Roman" w:hAnsi="Times New Roman" w:cs="Times New Roman"/>
          <w:i/>
          <w:sz w:val="24"/>
          <w:szCs w:val="24"/>
        </w:rPr>
        <w:t>Ramos v. Foam America, Inc.,</w:t>
      </w:r>
      <w:r w:rsidR="00C66715" w:rsidRPr="009E39C0">
        <w:rPr>
          <w:rFonts w:ascii="Times New Roman" w:hAnsi="Times New Roman" w:cs="Times New Roman"/>
          <w:sz w:val="24"/>
          <w:szCs w:val="24"/>
        </w:rPr>
        <w:t xml:space="preserve"> 2018 WL 1684327 *7 (D. New Mexico Apr. 5, 2018) (recognizing that New Mexico found such a duty affecting successors in certain factual contexts); and </w:t>
      </w:r>
      <w:r w:rsidR="00C66715" w:rsidRPr="00C065D3">
        <w:rPr>
          <w:rFonts w:ascii="Times New Roman" w:hAnsi="Times New Roman" w:cs="Times New Roman"/>
          <w:i/>
          <w:sz w:val="24"/>
          <w:szCs w:val="24"/>
        </w:rPr>
        <w:t>Farmer v. Air and Liquid Sys. Corp.</w:t>
      </w:r>
      <w:r w:rsidR="00C66715" w:rsidRPr="009E39C0">
        <w:rPr>
          <w:rFonts w:ascii="Times New Roman" w:hAnsi="Times New Roman" w:cs="Times New Roman"/>
          <w:sz w:val="24"/>
          <w:szCs w:val="24"/>
        </w:rPr>
        <w:t xml:space="preserve"> 2018 WL 1528202 *8 (M.D. Ga. Mar. 28, 2018) (recognizing Georgia’s acceptance of the Section 13 successor liability theory)</w:t>
      </w:r>
      <w:r w:rsidR="00551C3D" w:rsidRPr="009E39C0">
        <w:rPr>
          <w:rFonts w:ascii="Times New Roman" w:hAnsi="Times New Roman" w:cs="Times New Roman"/>
          <w:sz w:val="24"/>
          <w:szCs w:val="24"/>
        </w:rPr>
        <w:t>.</w:t>
      </w:r>
    </w:p>
    <w:p w:rsidR="00E27192" w:rsidRPr="009E39C0" w:rsidRDefault="00E27192" w:rsidP="00E27192">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 xml:space="preserve">Some courts </w:t>
      </w:r>
      <w:r w:rsidR="00C66715" w:rsidRPr="009E39C0">
        <w:rPr>
          <w:rFonts w:ascii="Times New Roman" w:hAnsi="Times New Roman" w:cs="Times New Roman"/>
          <w:sz w:val="24"/>
          <w:szCs w:val="24"/>
        </w:rPr>
        <w:t>evaluate</w:t>
      </w:r>
      <w:r w:rsidRPr="009E39C0">
        <w:rPr>
          <w:rFonts w:ascii="Times New Roman" w:hAnsi="Times New Roman" w:cs="Times New Roman"/>
          <w:sz w:val="24"/>
          <w:szCs w:val="24"/>
        </w:rPr>
        <w:t xml:space="preserve"> the duty </w:t>
      </w:r>
      <w:r w:rsidR="00C66715" w:rsidRPr="009E39C0">
        <w:rPr>
          <w:rFonts w:ascii="Times New Roman" w:hAnsi="Times New Roman" w:cs="Times New Roman"/>
          <w:sz w:val="24"/>
          <w:szCs w:val="24"/>
        </w:rPr>
        <w:t>based upon whether the</w:t>
      </w:r>
      <w:r w:rsidRPr="009E39C0">
        <w:rPr>
          <w:rFonts w:ascii="Times New Roman" w:hAnsi="Times New Roman" w:cs="Times New Roman"/>
          <w:sz w:val="24"/>
          <w:szCs w:val="24"/>
        </w:rPr>
        <w:t xml:space="preserve"> successor agree</w:t>
      </w:r>
      <w:r w:rsidR="00C66715" w:rsidRPr="009E39C0">
        <w:rPr>
          <w:rFonts w:ascii="Times New Roman" w:hAnsi="Times New Roman" w:cs="Times New Roman"/>
          <w:sz w:val="24"/>
          <w:szCs w:val="24"/>
        </w:rPr>
        <w:t>s</w:t>
      </w:r>
      <w:r w:rsidRPr="009E39C0">
        <w:rPr>
          <w:rFonts w:ascii="Times New Roman" w:hAnsi="Times New Roman" w:cs="Times New Roman"/>
          <w:sz w:val="24"/>
          <w:szCs w:val="24"/>
        </w:rPr>
        <w:t xml:space="preserve"> to provide services for the predecessor’s products.  </w:t>
      </w:r>
      <w:r w:rsidRPr="00C065D3">
        <w:rPr>
          <w:rFonts w:ascii="Times New Roman" w:hAnsi="Times New Roman" w:cs="Times New Roman"/>
          <w:i/>
          <w:sz w:val="24"/>
          <w:szCs w:val="24"/>
        </w:rPr>
        <w:t>See, e.g.</w:t>
      </w:r>
      <w:r w:rsidRPr="009E39C0">
        <w:rPr>
          <w:rFonts w:ascii="Times New Roman" w:hAnsi="Times New Roman" w:cs="Times New Roman"/>
          <w:sz w:val="24"/>
          <w:szCs w:val="24"/>
        </w:rPr>
        <w:t xml:space="preserve">, </w:t>
      </w:r>
      <w:hyperlink r:id="rId23" w:history="1">
        <w:r w:rsidRPr="00C065D3">
          <w:rPr>
            <w:rFonts w:ascii="Times New Roman" w:hAnsi="Times New Roman" w:cs="Times New Roman"/>
            <w:i/>
            <w:sz w:val="24"/>
            <w:szCs w:val="24"/>
          </w:rPr>
          <w:t>Herrod v. Metal Powder Products,</w:t>
        </w:r>
        <w:r w:rsidRPr="009E39C0">
          <w:rPr>
            <w:rFonts w:ascii="Times New Roman" w:hAnsi="Times New Roman" w:cs="Times New Roman"/>
            <w:sz w:val="24"/>
            <w:szCs w:val="24"/>
          </w:rPr>
          <w:t> 413 Fed. Appx. 7,</w:t>
        </w:r>
      </w:hyperlink>
      <w:r w:rsidRPr="009E39C0">
        <w:rPr>
          <w:rFonts w:ascii="Times New Roman" w:hAnsi="Times New Roman" w:cs="Times New Roman"/>
          <w:sz w:val="24"/>
          <w:szCs w:val="24"/>
        </w:rPr>
        <w:t xml:space="preserve"> *13-15 (10th Cir. 2010) (finding the successor corporation had a duty to warn of defects in the predecessor's products because the successor expressly agreed to provide services for maintenance and repair of the products, and the predecessor provided the successor with a list of known product failures); </w:t>
      </w:r>
      <w:r w:rsidRPr="00C065D3">
        <w:rPr>
          <w:rFonts w:ascii="Times New Roman" w:hAnsi="Times New Roman" w:cs="Times New Roman"/>
          <w:i/>
          <w:sz w:val="24"/>
          <w:szCs w:val="24"/>
        </w:rPr>
        <w:t>Campbell v. Davol, Inc</w:t>
      </w:r>
      <w:r w:rsidR="00551C3D" w:rsidRPr="00C065D3">
        <w:rPr>
          <w:rFonts w:ascii="Times New Roman" w:hAnsi="Times New Roman" w:cs="Times New Roman"/>
          <w:i/>
          <w:sz w:val="24"/>
          <w:szCs w:val="24"/>
        </w:rPr>
        <w:t>.,</w:t>
      </w:r>
      <w:r w:rsidR="00551C3D" w:rsidRPr="009E39C0">
        <w:rPr>
          <w:rFonts w:ascii="Times New Roman" w:hAnsi="Times New Roman" w:cs="Times New Roman"/>
          <w:sz w:val="24"/>
          <w:szCs w:val="24"/>
        </w:rPr>
        <w:t xml:space="preserve"> 620 F.3d 887, 894 (8th</w:t>
      </w:r>
      <w:r w:rsidRPr="009E39C0">
        <w:rPr>
          <w:rFonts w:ascii="Times New Roman" w:hAnsi="Times New Roman" w:cs="Times New Roman"/>
          <w:sz w:val="24"/>
          <w:szCs w:val="24"/>
        </w:rPr>
        <w:t xml:space="preserve"> Cir. 2010) </w:t>
      </w:r>
      <w:r w:rsidR="00C66715" w:rsidRPr="009E39C0">
        <w:rPr>
          <w:rFonts w:ascii="Times New Roman" w:hAnsi="Times New Roman" w:cs="Times New Roman"/>
          <w:sz w:val="24"/>
          <w:szCs w:val="24"/>
        </w:rPr>
        <w:t>(</w:t>
      </w:r>
      <w:r w:rsidRPr="009E39C0">
        <w:rPr>
          <w:rFonts w:ascii="Times New Roman" w:hAnsi="Times New Roman" w:cs="Times New Roman"/>
          <w:sz w:val="24"/>
          <w:szCs w:val="24"/>
        </w:rPr>
        <w:t>rul</w:t>
      </w:r>
      <w:r w:rsidR="00C66715" w:rsidRPr="009E39C0">
        <w:rPr>
          <w:rFonts w:ascii="Times New Roman" w:hAnsi="Times New Roman" w:cs="Times New Roman"/>
          <w:sz w:val="24"/>
          <w:szCs w:val="24"/>
        </w:rPr>
        <w:t>ing</w:t>
      </w:r>
      <w:r w:rsidRPr="009E39C0">
        <w:rPr>
          <w:rFonts w:ascii="Times New Roman" w:hAnsi="Times New Roman" w:cs="Times New Roman"/>
          <w:sz w:val="24"/>
          <w:szCs w:val="24"/>
        </w:rPr>
        <w:t xml:space="preserve"> that regardless whether Arkansas </w:t>
      </w:r>
      <w:r w:rsidR="00C66715" w:rsidRPr="009E39C0">
        <w:rPr>
          <w:rFonts w:ascii="Times New Roman" w:hAnsi="Times New Roman" w:cs="Times New Roman"/>
          <w:sz w:val="24"/>
          <w:szCs w:val="24"/>
        </w:rPr>
        <w:t>would decide</w:t>
      </w:r>
      <w:r w:rsidRPr="009E39C0">
        <w:rPr>
          <w:rFonts w:ascii="Times New Roman" w:hAnsi="Times New Roman" w:cs="Times New Roman"/>
          <w:sz w:val="24"/>
          <w:szCs w:val="24"/>
        </w:rPr>
        <w:t xml:space="preserve"> to adopt </w:t>
      </w:r>
      <w:r w:rsidR="00C66715" w:rsidRPr="009E39C0">
        <w:rPr>
          <w:rFonts w:ascii="Times New Roman" w:hAnsi="Times New Roman" w:cs="Times New Roman"/>
          <w:sz w:val="24"/>
          <w:szCs w:val="24"/>
        </w:rPr>
        <w:t xml:space="preserve">the </w:t>
      </w:r>
      <w:r w:rsidRPr="009E39C0">
        <w:rPr>
          <w:rFonts w:ascii="Times New Roman" w:hAnsi="Times New Roman" w:cs="Times New Roman"/>
          <w:sz w:val="24"/>
          <w:szCs w:val="24"/>
        </w:rPr>
        <w:t>post-sale duty</w:t>
      </w:r>
      <w:r w:rsidR="00C66715" w:rsidRPr="009E39C0">
        <w:rPr>
          <w:rFonts w:ascii="Times New Roman" w:hAnsi="Times New Roman" w:cs="Times New Roman"/>
          <w:sz w:val="24"/>
          <w:szCs w:val="24"/>
        </w:rPr>
        <w:t>,</w:t>
      </w:r>
      <w:r w:rsidRPr="009E39C0">
        <w:rPr>
          <w:rFonts w:ascii="Times New Roman" w:hAnsi="Times New Roman" w:cs="Times New Roman"/>
          <w:sz w:val="24"/>
          <w:szCs w:val="24"/>
        </w:rPr>
        <w:t xml:space="preserve"> </w:t>
      </w:r>
      <w:r w:rsidR="00C66715" w:rsidRPr="009E39C0">
        <w:rPr>
          <w:rFonts w:ascii="Times New Roman" w:hAnsi="Times New Roman" w:cs="Times New Roman"/>
          <w:sz w:val="24"/>
          <w:szCs w:val="24"/>
        </w:rPr>
        <w:t>it</w:t>
      </w:r>
      <w:r w:rsidRPr="009E39C0">
        <w:rPr>
          <w:rFonts w:ascii="Times New Roman" w:hAnsi="Times New Roman" w:cs="Times New Roman"/>
          <w:sz w:val="24"/>
          <w:szCs w:val="24"/>
        </w:rPr>
        <w:t xml:space="preserve"> could not exist where no contractual duty requir</w:t>
      </w:r>
      <w:r w:rsidR="00C66715" w:rsidRPr="009E39C0">
        <w:rPr>
          <w:rFonts w:ascii="Times New Roman" w:hAnsi="Times New Roman" w:cs="Times New Roman"/>
          <w:sz w:val="24"/>
          <w:szCs w:val="24"/>
        </w:rPr>
        <w:t>ed</w:t>
      </w:r>
      <w:r w:rsidRPr="009E39C0">
        <w:rPr>
          <w:rFonts w:ascii="Times New Roman" w:hAnsi="Times New Roman" w:cs="Times New Roman"/>
          <w:sz w:val="24"/>
          <w:szCs w:val="24"/>
        </w:rPr>
        <w:t xml:space="preserve"> the successor to provide services to the predecessor’s customers</w:t>
      </w:r>
      <w:r w:rsidR="00C66715" w:rsidRPr="009E39C0">
        <w:rPr>
          <w:rFonts w:ascii="Times New Roman" w:hAnsi="Times New Roman" w:cs="Times New Roman"/>
          <w:sz w:val="24"/>
          <w:szCs w:val="24"/>
        </w:rPr>
        <w:t>)</w:t>
      </w:r>
      <w:r w:rsidRPr="009E39C0">
        <w:rPr>
          <w:rFonts w:ascii="Times New Roman" w:hAnsi="Times New Roman" w:cs="Times New Roman"/>
          <w:sz w:val="24"/>
          <w:szCs w:val="24"/>
        </w:rPr>
        <w:t>.</w:t>
      </w:r>
    </w:p>
    <w:p w:rsidR="00E27192" w:rsidRPr="009E39C0" w:rsidRDefault="00E27192" w:rsidP="00513E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Decisions on the “No” side include for example</w:t>
      </w:r>
      <w:r w:rsidRPr="00C065D3">
        <w:rPr>
          <w:rFonts w:ascii="Times New Roman" w:hAnsi="Times New Roman" w:cs="Times New Roman"/>
          <w:i/>
          <w:sz w:val="24"/>
          <w:szCs w:val="24"/>
        </w:rPr>
        <w:t xml:space="preserve"> In re: Gen. Motors LLC Ignition Switch Litig.,</w:t>
      </w:r>
      <w:r w:rsidRPr="009E39C0">
        <w:rPr>
          <w:rFonts w:ascii="Times New Roman" w:hAnsi="Times New Roman" w:cs="Times New Roman"/>
          <w:sz w:val="24"/>
          <w:szCs w:val="24"/>
        </w:rPr>
        <w:t> 2016 WL 874778, *6 (S.D.N.Y. Mar. 3, 2016) (predicting Louisiana would not adopt the duty</w:t>
      </w:r>
      <w:r w:rsidR="00551C3D" w:rsidRPr="009E39C0">
        <w:rPr>
          <w:rFonts w:ascii="Times New Roman" w:hAnsi="Times New Roman" w:cs="Times New Roman"/>
          <w:sz w:val="24"/>
          <w:szCs w:val="24"/>
        </w:rPr>
        <w:t xml:space="preserve"> as to successors</w:t>
      </w:r>
      <w:r w:rsidRPr="009E39C0">
        <w:rPr>
          <w:rFonts w:ascii="Times New Roman" w:hAnsi="Times New Roman" w:cs="Times New Roman"/>
          <w:sz w:val="24"/>
          <w:szCs w:val="24"/>
        </w:rPr>
        <w:t>).</w:t>
      </w:r>
    </w:p>
    <w:p w:rsidR="000F41DA" w:rsidRPr="009E39C0" w:rsidRDefault="000F41DA" w:rsidP="001B48C9">
      <w:pPr>
        <w:spacing w:line="240" w:lineRule="auto"/>
        <w:jc w:val="center"/>
        <w:rPr>
          <w:rFonts w:ascii="Times New Roman" w:hAnsi="Times New Roman" w:cs="Times New Roman"/>
          <w:sz w:val="24"/>
          <w:szCs w:val="24"/>
        </w:rPr>
      </w:pPr>
      <w:r w:rsidRPr="00C065D3">
        <w:rPr>
          <w:rFonts w:ascii="Times New Roman" w:hAnsi="Times New Roman" w:cs="Times New Roman"/>
          <w:sz w:val="24"/>
          <w:szCs w:val="24"/>
          <w:u w:val="single"/>
        </w:rPr>
        <w:t>Can It Extend to Manufacturers Using Others’ Component Parts</w:t>
      </w:r>
      <w:r w:rsidRPr="009E39C0">
        <w:rPr>
          <w:rFonts w:ascii="Times New Roman" w:hAnsi="Times New Roman" w:cs="Times New Roman"/>
          <w:sz w:val="24"/>
          <w:szCs w:val="24"/>
        </w:rPr>
        <w:t>?</w:t>
      </w:r>
    </w:p>
    <w:p w:rsidR="000F41DA" w:rsidRPr="009E39C0" w:rsidRDefault="000F41DA" w:rsidP="00513E25">
      <w:pPr>
        <w:spacing w:line="240" w:lineRule="auto"/>
        <w:jc w:val="both"/>
        <w:rPr>
          <w:rFonts w:ascii="Times New Roman" w:hAnsi="Times New Roman" w:cs="Times New Roman"/>
          <w:sz w:val="24"/>
          <w:szCs w:val="24"/>
        </w:rPr>
      </w:pPr>
      <w:r w:rsidRPr="00C065D3">
        <w:rPr>
          <w:rFonts w:ascii="Times New Roman" w:hAnsi="Times New Roman" w:cs="Times New Roman"/>
          <w:i/>
          <w:sz w:val="24"/>
          <w:szCs w:val="24"/>
        </w:rPr>
        <w:t>In re New York City Asbestos Litig</w:t>
      </w:r>
      <w:r w:rsidR="00551C3D" w:rsidRPr="00C065D3">
        <w:rPr>
          <w:rFonts w:ascii="Times New Roman" w:hAnsi="Times New Roman" w:cs="Times New Roman"/>
          <w:i/>
          <w:sz w:val="24"/>
          <w:szCs w:val="24"/>
        </w:rPr>
        <w:t>.</w:t>
      </w:r>
      <w:r w:rsidRPr="00C065D3">
        <w:rPr>
          <w:rFonts w:ascii="Times New Roman" w:hAnsi="Times New Roman" w:cs="Times New Roman"/>
          <w:i/>
          <w:sz w:val="24"/>
          <w:szCs w:val="24"/>
        </w:rPr>
        <w:t>,</w:t>
      </w:r>
      <w:r w:rsidRPr="009E39C0">
        <w:rPr>
          <w:rFonts w:ascii="Times New Roman" w:hAnsi="Times New Roman" w:cs="Times New Roman"/>
          <w:sz w:val="24"/>
          <w:szCs w:val="24"/>
        </w:rPr>
        <w:t xml:space="preserve"> 59 N.E.3d 458, 470, 472 (N.Y. 2016) the court ruled that a steam pipe valve manufacturer had a post-sale duty when its asbestos-free valves specified use of asbestos as a component to enable the valves to function as intended.</w:t>
      </w:r>
    </w:p>
    <w:p w:rsidR="0099264C" w:rsidRPr="00E775AA" w:rsidRDefault="0099264C" w:rsidP="001B48C9">
      <w:pPr>
        <w:spacing w:line="240" w:lineRule="auto"/>
        <w:jc w:val="center"/>
        <w:rPr>
          <w:rFonts w:ascii="Times New Roman" w:hAnsi="Times New Roman" w:cs="Times New Roman"/>
          <w:sz w:val="24"/>
          <w:szCs w:val="24"/>
          <w:u w:val="single"/>
        </w:rPr>
      </w:pPr>
      <w:r w:rsidRPr="00E775AA">
        <w:rPr>
          <w:rFonts w:ascii="Times New Roman" w:hAnsi="Times New Roman" w:cs="Times New Roman"/>
          <w:sz w:val="24"/>
          <w:szCs w:val="24"/>
          <w:u w:val="single"/>
        </w:rPr>
        <w:t>Methods of Warning</w:t>
      </w:r>
    </w:p>
    <w:p w:rsidR="0067214A" w:rsidRPr="009E39C0" w:rsidRDefault="001B48C9" w:rsidP="00513E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Just how would one satisfy the duty, recognizing the potential difficulties involved in finding product users?</w:t>
      </w:r>
      <w:r w:rsidR="0067214A" w:rsidRPr="009E39C0">
        <w:rPr>
          <w:rFonts w:ascii="Times New Roman" w:hAnsi="Times New Roman" w:cs="Times New Roman"/>
          <w:sz w:val="24"/>
          <w:szCs w:val="24"/>
        </w:rPr>
        <w:t xml:space="preserve">  The </w:t>
      </w:r>
      <w:r w:rsidR="0067214A" w:rsidRPr="00C065D3">
        <w:rPr>
          <w:rFonts w:ascii="Times New Roman" w:hAnsi="Times New Roman" w:cs="Times New Roman"/>
          <w:i/>
          <w:sz w:val="24"/>
          <w:szCs w:val="24"/>
        </w:rPr>
        <w:t>Restatement</w:t>
      </w:r>
      <w:r w:rsidR="0067214A" w:rsidRPr="009E39C0">
        <w:rPr>
          <w:rFonts w:ascii="Times New Roman" w:hAnsi="Times New Roman" w:cs="Times New Roman"/>
          <w:sz w:val="24"/>
          <w:szCs w:val="24"/>
        </w:rPr>
        <w:t xml:space="preserve"> offers guidance:</w:t>
      </w:r>
    </w:p>
    <w:p w:rsidR="0067214A" w:rsidRPr="009E39C0" w:rsidRDefault="0067214A" w:rsidP="0067214A">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 xml:space="preserve">“To succeed on such a claim, [plaintiff] must establish that (1) </w:t>
      </w:r>
      <w:r w:rsidR="007034D6" w:rsidRPr="009E39C0">
        <w:rPr>
          <w:rFonts w:ascii="Times New Roman" w:hAnsi="Times New Roman" w:cs="Times New Roman"/>
          <w:sz w:val="24"/>
          <w:szCs w:val="24"/>
        </w:rPr>
        <w:t>[the seller]</w:t>
      </w:r>
      <w:r w:rsidRPr="009E39C0">
        <w:rPr>
          <w:rFonts w:ascii="Times New Roman" w:hAnsi="Times New Roman" w:cs="Times New Roman"/>
          <w:sz w:val="24"/>
          <w:szCs w:val="24"/>
        </w:rPr>
        <w:t xml:space="preserve"> </w:t>
      </w:r>
      <w:r w:rsidR="007034D6" w:rsidRPr="009E39C0">
        <w:rPr>
          <w:rFonts w:ascii="Times New Roman" w:hAnsi="Times New Roman" w:cs="Times New Roman"/>
          <w:sz w:val="24"/>
          <w:szCs w:val="24"/>
        </w:rPr>
        <w:t>‘</w:t>
      </w:r>
      <w:r w:rsidRPr="009E39C0">
        <w:rPr>
          <w:rFonts w:ascii="Times New Roman" w:hAnsi="Times New Roman" w:cs="Times New Roman"/>
          <w:sz w:val="24"/>
          <w:szCs w:val="24"/>
        </w:rPr>
        <w:t>kn[ew] or reasonably should have known of product dangers discovered post-sale,</w:t>
      </w:r>
      <w:r w:rsidR="007034D6" w:rsidRPr="009E39C0">
        <w:rPr>
          <w:rFonts w:ascii="Times New Roman" w:hAnsi="Times New Roman" w:cs="Times New Roman"/>
          <w:sz w:val="24"/>
          <w:szCs w:val="24"/>
        </w:rPr>
        <w:t>’</w:t>
      </w:r>
      <w:r w:rsidRPr="009E39C0">
        <w:rPr>
          <w:rFonts w:ascii="Times New Roman" w:hAnsi="Times New Roman" w:cs="Times New Roman"/>
          <w:sz w:val="24"/>
          <w:szCs w:val="24"/>
        </w:rPr>
        <w:t xml:space="preserve"> (2) </w:t>
      </w:r>
      <w:r w:rsidR="007034D6" w:rsidRPr="009E39C0">
        <w:rPr>
          <w:rFonts w:ascii="Times New Roman" w:hAnsi="Times New Roman" w:cs="Times New Roman"/>
          <w:sz w:val="24"/>
          <w:szCs w:val="24"/>
        </w:rPr>
        <w:t>‘</w:t>
      </w:r>
      <w:r w:rsidRPr="009E39C0">
        <w:rPr>
          <w:rFonts w:ascii="Times New Roman" w:hAnsi="Times New Roman" w:cs="Times New Roman"/>
          <w:sz w:val="24"/>
          <w:szCs w:val="24"/>
        </w:rPr>
        <w:t>a reasonable person in [</w:t>
      </w:r>
      <w:r w:rsidR="007034D6" w:rsidRPr="009E39C0">
        <w:rPr>
          <w:rFonts w:ascii="Times New Roman" w:hAnsi="Times New Roman" w:cs="Times New Roman"/>
          <w:sz w:val="24"/>
          <w:szCs w:val="24"/>
        </w:rPr>
        <w:t>seller</w:t>
      </w:r>
      <w:r w:rsidRPr="009E39C0">
        <w:rPr>
          <w:rFonts w:ascii="Times New Roman" w:hAnsi="Times New Roman" w:cs="Times New Roman"/>
          <w:sz w:val="24"/>
          <w:szCs w:val="24"/>
        </w:rPr>
        <w:t>'s] position would provide a warning,</w:t>
      </w:r>
      <w:r w:rsidR="007034D6" w:rsidRPr="009E39C0">
        <w:rPr>
          <w:rFonts w:ascii="Times New Roman" w:hAnsi="Times New Roman" w:cs="Times New Roman"/>
          <w:sz w:val="24"/>
          <w:szCs w:val="24"/>
        </w:rPr>
        <w:t>’ (3) ‘</w:t>
      </w:r>
      <w:r w:rsidRPr="009E39C0">
        <w:rPr>
          <w:rFonts w:ascii="Times New Roman" w:hAnsi="Times New Roman" w:cs="Times New Roman"/>
          <w:sz w:val="24"/>
          <w:szCs w:val="24"/>
        </w:rPr>
        <w:t>those to whom a warning might be provided can be identified,</w:t>
      </w:r>
      <w:r w:rsidR="007034D6" w:rsidRPr="009E39C0">
        <w:rPr>
          <w:rFonts w:ascii="Times New Roman" w:hAnsi="Times New Roman" w:cs="Times New Roman"/>
          <w:sz w:val="24"/>
          <w:szCs w:val="24"/>
        </w:rPr>
        <w:t>’</w:t>
      </w:r>
      <w:r w:rsidRPr="009E39C0">
        <w:rPr>
          <w:rFonts w:ascii="Times New Roman" w:hAnsi="Times New Roman" w:cs="Times New Roman"/>
          <w:sz w:val="24"/>
          <w:szCs w:val="24"/>
        </w:rPr>
        <w:t xml:space="preserve"> and (4) the warning can be </w:t>
      </w:r>
      <w:r w:rsidR="007034D6" w:rsidRPr="009E39C0">
        <w:rPr>
          <w:rFonts w:ascii="Times New Roman" w:hAnsi="Times New Roman" w:cs="Times New Roman"/>
          <w:sz w:val="24"/>
          <w:szCs w:val="24"/>
        </w:rPr>
        <w:t>‘</w:t>
      </w:r>
      <w:r w:rsidRPr="009E39C0">
        <w:rPr>
          <w:rFonts w:ascii="Times New Roman" w:hAnsi="Times New Roman" w:cs="Times New Roman"/>
          <w:sz w:val="24"/>
          <w:szCs w:val="24"/>
        </w:rPr>
        <w:t>effectively communicated</w:t>
      </w:r>
      <w:r w:rsidR="007034D6" w:rsidRPr="009E39C0">
        <w:rPr>
          <w:rFonts w:ascii="Times New Roman" w:hAnsi="Times New Roman" w:cs="Times New Roman"/>
          <w:sz w:val="24"/>
          <w:szCs w:val="24"/>
        </w:rPr>
        <w:t>’</w:t>
      </w:r>
      <w:r w:rsidRPr="009E39C0">
        <w:rPr>
          <w:rFonts w:ascii="Times New Roman" w:hAnsi="Times New Roman" w:cs="Times New Roman"/>
          <w:sz w:val="24"/>
          <w:szCs w:val="24"/>
        </w:rPr>
        <w:t xml:space="preserve"> to them.” </w:t>
      </w:r>
    </w:p>
    <w:p w:rsidR="0067214A" w:rsidRPr="009E39C0" w:rsidRDefault="0067214A" w:rsidP="0067214A">
      <w:pPr>
        <w:spacing w:after="0" w:line="240" w:lineRule="auto"/>
        <w:ind w:left="720" w:right="720"/>
        <w:jc w:val="both"/>
        <w:rPr>
          <w:rFonts w:ascii="Times New Roman" w:hAnsi="Times New Roman" w:cs="Times New Roman"/>
          <w:sz w:val="24"/>
          <w:szCs w:val="24"/>
        </w:rPr>
      </w:pPr>
    </w:p>
    <w:p w:rsidR="001B48C9" w:rsidRPr="009E39C0" w:rsidRDefault="00B53D88" w:rsidP="00513E25">
      <w:pPr>
        <w:spacing w:line="240" w:lineRule="auto"/>
        <w:jc w:val="both"/>
        <w:rPr>
          <w:rFonts w:ascii="Times New Roman" w:hAnsi="Times New Roman" w:cs="Times New Roman"/>
          <w:sz w:val="24"/>
          <w:szCs w:val="24"/>
        </w:rPr>
      </w:pPr>
      <w:hyperlink r:id="rId24" w:history="1">
        <w:r w:rsidR="0067214A" w:rsidRPr="00C065D3">
          <w:rPr>
            <w:rFonts w:ascii="Times New Roman" w:hAnsi="Times New Roman" w:cs="Times New Roman"/>
            <w:i/>
            <w:sz w:val="24"/>
            <w:szCs w:val="24"/>
          </w:rPr>
          <w:t>Lewis v. Ariens Co.,</w:t>
        </w:r>
        <w:r w:rsidR="0067214A" w:rsidRPr="009E39C0">
          <w:rPr>
            <w:rFonts w:ascii="Times New Roman" w:hAnsi="Times New Roman" w:cs="Times New Roman"/>
            <w:sz w:val="24"/>
            <w:szCs w:val="24"/>
          </w:rPr>
          <w:t xml:space="preserve"> 434 Mass. 643, 751 N.E.2d 862,</w:t>
        </w:r>
      </w:hyperlink>
      <w:hyperlink r:id="rId25" w:history="1">
        <w:r w:rsidR="0067214A" w:rsidRPr="009E39C0">
          <w:rPr>
            <w:rFonts w:ascii="Times New Roman" w:hAnsi="Times New Roman" w:cs="Times New Roman"/>
            <w:sz w:val="24"/>
            <w:szCs w:val="24"/>
          </w:rPr>
          <w:t> 866 (2001)</w:t>
        </w:r>
      </w:hyperlink>
      <w:r w:rsidR="0067214A" w:rsidRPr="009E39C0">
        <w:rPr>
          <w:rFonts w:ascii="Times New Roman" w:hAnsi="Times New Roman" w:cs="Times New Roman"/>
          <w:sz w:val="24"/>
          <w:szCs w:val="24"/>
        </w:rPr>
        <w:t xml:space="preserve"> (quoting </w:t>
      </w:r>
      <w:r w:rsidR="0067214A" w:rsidRPr="00C065D3">
        <w:rPr>
          <w:rFonts w:ascii="Times New Roman" w:hAnsi="Times New Roman" w:cs="Times New Roman"/>
          <w:i/>
          <w:sz w:val="24"/>
          <w:szCs w:val="24"/>
        </w:rPr>
        <w:t>Restatement</w:t>
      </w:r>
      <w:r w:rsidR="0067214A" w:rsidRPr="009E39C0">
        <w:rPr>
          <w:rFonts w:ascii="Times New Roman" w:hAnsi="Times New Roman" w:cs="Times New Roman"/>
          <w:sz w:val="24"/>
          <w:szCs w:val="24"/>
        </w:rPr>
        <w:t xml:space="preserve"> </w:t>
      </w:r>
      <w:r w:rsidR="00551C3D" w:rsidRPr="009E39C0">
        <w:rPr>
          <w:rFonts w:ascii="Times New Roman" w:hAnsi="Times New Roman" w:cs="Times New Roman"/>
          <w:sz w:val="24"/>
          <w:szCs w:val="24"/>
        </w:rPr>
        <w:t>§</w:t>
      </w:r>
      <w:r w:rsidR="0067214A" w:rsidRPr="009E39C0">
        <w:rPr>
          <w:rFonts w:ascii="Times New Roman" w:hAnsi="Times New Roman" w:cs="Times New Roman"/>
          <w:sz w:val="24"/>
          <w:szCs w:val="24"/>
        </w:rPr>
        <w:t>§ 10(b)(2),(3) (1998))</w:t>
      </w:r>
      <w:r w:rsidR="007034D6" w:rsidRPr="009E39C0">
        <w:rPr>
          <w:rFonts w:ascii="Times New Roman" w:hAnsi="Times New Roman" w:cs="Times New Roman"/>
          <w:sz w:val="24"/>
          <w:szCs w:val="24"/>
        </w:rPr>
        <w:t>. Other c</w:t>
      </w:r>
      <w:r w:rsidR="001B48C9" w:rsidRPr="009E39C0">
        <w:rPr>
          <w:rFonts w:ascii="Times New Roman" w:hAnsi="Times New Roman" w:cs="Times New Roman"/>
          <w:sz w:val="24"/>
          <w:szCs w:val="24"/>
        </w:rPr>
        <w:t xml:space="preserve">ourts and commentators </w:t>
      </w:r>
      <w:r w:rsidR="007034D6" w:rsidRPr="009E39C0">
        <w:rPr>
          <w:rFonts w:ascii="Times New Roman" w:hAnsi="Times New Roman" w:cs="Times New Roman"/>
          <w:sz w:val="24"/>
          <w:szCs w:val="24"/>
        </w:rPr>
        <w:t xml:space="preserve">have </w:t>
      </w:r>
      <w:r w:rsidR="001B48C9" w:rsidRPr="009E39C0">
        <w:rPr>
          <w:rFonts w:ascii="Times New Roman" w:hAnsi="Times New Roman" w:cs="Times New Roman"/>
          <w:sz w:val="24"/>
          <w:szCs w:val="24"/>
        </w:rPr>
        <w:t>offer</w:t>
      </w:r>
      <w:r w:rsidR="007034D6" w:rsidRPr="009E39C0">
        <w:rPr>
          <w:rFonts w:ascii="Times New Roman" w:hAnsi="Times New Roman" w:cs="Times New Roman"/>
          <w:sz w:val="24"/>
          <w:szCs w:val="24"/>
        </w:rPr>
        <w:t>ed</w:t>
      </w:r>
      <w:r w:rsidR="001B48C9" w:rsidRPr="009E39C0">
        <w:rPr>
          <w:rFonts w:ascii="Times New Roman" w:hAnsi="Times New Roman" w:cs="Times New Roman"/>
          <w:sz w:val="24"/>
          <w:szCs w:val="24"/>
        </w:rPr>
        <w:t xml:space="preserve"> guidance on the manner in which product sellers ought to be judged in getting the warning out.</w:t>
      </w:r>
    </w:p>
    <w:p w:rsidR="001B48C9" w:rsidRPr="009E39C0" w:rsidRDefault="001B48C9" w:rsidP="001B48C9">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“The question of whether such a duty arises in a particular case will depend on the facts of that case. The passage of time from manufacture and initial sale to the discovery of previously unknown hazards may reflect that the product has changed ownership many times.</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 The original purchaser may have moved.</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 The length of product life will vary.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What is reasonably prudent post-sale conduct for one manufacturer and one type of product may not be reasonable for another manufacturer of an entirely different type of product.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The sale of the farm cultivator was made to Patton's father on a one-time basis 13 years before the injury.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What sales records will be available to the manufacturer?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Notification by a manufacturer to all prior purchasers of a product may be extremely burdensome, if not impossible.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In the case at bar, the manufacturer's retailer has continuing contact with the consumers.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We reason that a manufacturer who was unaware of a hazard at the time of sale and has since acquired knowledge of a life-threatening hazard should not be absolved of all duty to take reasonable steps to warn the ultimate consumer who purchased the product; however, the warning of unforeseeable dangers is neither required nor possible at the time of sale.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A manufacturer is to be given a reasonable period of time after discovery of the life-threatening hazard in which to issue any post-sale warning that might reasonably be required.”</w:t>
      </w:r>
    </w:p>
    <w:p w:rsidR="007034D6" w:rsidRPr="009E39C0" w:rsidRDefault="007034D6" w:rsidP="001B48C9">
      <w:pPr>
        <w:spacing w:after="0" w:line="240" w:lineRule="auto"/>
        <w:ind w:left="720" w:right="720"/>
        <w:jc w:val="both"/>
        <w:rPr>
          <w:rFonts w:ascii="Times New Roman" w:hAnsi="Times New Roman" w:cs="Times New Roman"/>
          <w:sz w:val="24"/>
          <w:szCs w:val="24"/>
        </w:rPr>
      </w:pPr>
    </w:p>
    <w:p w:rsidR="007034D6" w:rsidRPr="009E39C0" w:rsidRDefault="000D34D7" w:rsidP="007034D6">
      <w:pPr>
        <w:spacing w:line="240" w:lineRule="auto"/>
        <w:jc w:val="both"/>
        <w:rPr>
          <w:rFonts w:ascii="Times New Roman" w:hAnsi="Times New Roman" w:cs="Times New Roman"/>
          <w:sz w:val="24"/>
          <w:szCs w:val="24"/>
        </w:rPr>
      </w:pPr>
      <w:r w:rsidRPr="00C065D3">
        <w:rPr>
          <w:rFonts w:ascii="Times New Roman" w:hAnsi="Times New Roman" w:cs="Times New Roman"/>
          <w:i/>
          <w:sz w:val="24"/>
          <w:szCs w:val="24"/>
        </w:rPr>
        <w:t>Patton v. Hutchinson Wil-Rich Mfg. Co.,</w:t>
      </w:r>
      <w:r w:rsidRPr="009E39C0">
        <w:rPr>
          <w:rFonts w:ascii="Times New Roman" w:hAnsi="Times New Roman" w:cs="Times New Roman"/>
          <w:sz w:val="24"/>
          <w:szCs w:val="24"/>
        </w:rPr>
        <w:t xml:space="preserve"> 253 Kan. 741, 760-61, 861 P.2d 1299 (1993).  Compliance is tested essentially per the “A for effort” idiom.  </w:t>
      </w:r>
      <w:r w:rsidRPr="00C065D3">
        <w:rPr>
          <w:rFonts w:ascii="Times New Roman" w:hAnsi="Times New Roman" w:cs="Times New Roman"/>
          <w:i/>
          <w:sz w:val="24"/>
          <w:szCs w:val="24"/>
        </w:rPr>
        <w:t xml:space="preserve">See, e.g., </w:t>
      </w:r>
      <w:r w:rsidR="001B48C9" w:rsidRPr="00C065D3">
        <w:rPr>
          <w:rFonts w:ascii="Times New Roman" w:hAnsi="Times New Roman" w:cs="Times New Roman"/>
          <w:i/>
          <w:sz w:val="24"/>
          <w:szCs w:val="24"/>
        </w:rPr>
        <w:t>Jackson v. Ez-Go Div of Textron, Inc.</w:t>
      </w:r>
      <w:r w:rsidR="001B48C9" w:rsidRPr="009E39C0">
        <w:rPr>
          <w:rFonts w:ascii="Times New Roman" w:hAnsi="Times New Roman" w:cs="Times New Roman"/>
          <w:sz w:val="24"/>
          <w:szCs w:val="24"/>
        </w:rPr>
        <w:t>, 2015 WL 4464098 *3 (W.D. Ky. Jul. 21, 2015) (stating Kentucky law holds that in post-sale contexts the manufacturer must "make an effort to notify the purchasers")</w:t>
      </w:r>
      <w:r w:rsidR="0067214A" w:rsidRPr="009E39C0">
        <w:rPr>
          <w:rFonts w:ascii="Times New Roman" w:hAnsi="Times New Roman" w:cs="Times New Roman"/>
          <w:sz w:val="24"/>
          <w:szCs w:val="24"/>
        </w:rPr>
        <w:t xml:space="preserve">; </w:t>
      </w:r>
      <w:r w:rsidR="0067214A" w:rsidRPr="00C065D3">
        <w:rPr>
          <w:rFonts w:ascii="Times New Roman" w:hAnsi="Times New Roman" w:cs="Times New Roman"/>
          <w:i/>
          <w:sz w:val="24"/>
          <w:szCs w:val="24"/>
        </w:rPr>
        <w:t>see also Kenneth Ross, Post-Sale Duty to Warn: A Critical Cause of Action</w:t>
      </w:r>
      <w:r w:rsidR="0067214A" w:rsidRPr="009E39C0">
        <w:rPr>
          <w:rFonts w:ascii="Times New Roman" w:hAnsi="Times New Roman" w:cs="Times New Roman"/>
          <w:sz w:val="24"/>
          <w:szCs w:val="24"/>
        </w:rPr>
        <w:t>, 27 Wm. Mitchell L. Rev. 339, 355 (2000) (discussing various ways in which manufacturers can warn of hazards).</w:t>
      </w:r>
      <w:r w:rsidR="007034D6" w:rsidRPr="009E39C0">
        <w:rPr>
          <w:rFonts w:ascii="Times New Roman" w:hAnsi="Times New Roman" w:cs="Times New Roman"/>
          <w:sz w:val="24"/>
          <w:szCs w:val="24"/>
        </w:rPr>
        <w:t xml:space="preserve">  </w:t>
      </w:r>
      <w:r w:rsidR="007034D6" w:rsidRPr="00C065D3">
        <w:rPr>
          <w:rFonts w:ascii="Times New Roman" w:hAnsi="Times New Roman" w:cs="Times New Roman"/>
          <w:i/>
          <w:sz w:val="24"/>
          <w:szCs w:val="24"/>
        </w:rPr>
        <w:t>See also Tom Stilwell, Warning: You May Possess Continuing Duties After the Sale of Your Product!</w:t>
      </w:r>
      <w:r w:rsidR="007034D6" w:rsidRPr="009E39C0">
        <w:rPr>
          <w:rFonts w:ascii="Times New Roman" w:hAnsi="Times New Roman" w:cs="Times New Roman"/>
          <w:sz w:val="24"/>
          <w:szCs w:val="24"/>
        </w:rPr>
        <w:t xml:space="preserve"> (An Evaluation of the Restatement (Third) of Torts: Products Liability's Treatment of Post-Sale Duties), 26 Rev. Litig. 1035, 1054-55 (2007) (noting that "[s]ales of machinery, vehicles, or durable goods will likely possess information such as serial numbers, registration data, warranty information, or dealer records that will aid in tracing purchasers or current users.")</w:t>
      </w:r>
      <w:r w:rsidR="00162101" w:rsidRPr="009E39C0">
        <w:rPr>
          <w:rFonts w:ascii="Times New Roman" w:hAnsi="Times New Roman" w:cs="Times New Roman"/>
          <w:sz w:val="24"/>
          <w:szCs w:val="24"/>
        </w:rPr>
        <w:t xml:space="preserve">; </w:t>
      </w:r>
      <w:r w:rsidR="00162101" w:rsidRPr="00C065D3">
        <w:rPr>
          <w:rFonts w:ascii="Times New Roman" w:hAnsi="Times New Roman" w:cs="Times New Roman"/>
          <w:i/>
          <w:sz w:val="24"/>
          <w:szCs w:val="24"/>
        </w:rPr>
        <w:t>Restatement</w:t>
      </w:r>
      <w:r w:rsidR="00162101" w:rsidRPr="009E39C0">
        <w:rPr>
          <w:rFonts w:ascii="Times New Roman" w:hAnsi="Times New Roman" w:cs="Times New Roman"/>
          <w:sz w:val="24"/>
          <w:szCs w:val="24"/>
        </w:rPr>
        <w:t xml:space="preserve">, §10, Comment g (1998) (pointing out that use of public media may be required to disseminate risks of substantial harm). </w:t>
      </w:r>
    </w:p>
    <w:p w:rsidR="0067214A" w:rsidRPr="009E39C0" w:rsidRDefault="007034D6" w:rsidP="0067214A">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Supply chain complexity can work in the defendant’s favor:</w:t>
      </w:r>
    </w:p>
    <w:p w:rsidR="007034D6" w:rsidRPr="009E39C0" w:rsidRDefault="007034D6" w:rsidP="007034D6">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“That Monsanto maintained a list of direct customers has no bearing on whether it could have identified all end users.</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 Given Monsanto's complex supply chain, tracing the caulk used at WMS back to PCR (based on documents containing WMS's specifications and communications from WMS's contractor) is not the same as being able to identify WMS as an end user in the first place. </w:t>
      </w:r>
      <w:r w:rsidR="00551C3D" w:rsidRPr="009E39C0">
        <w:rPr>
          <w:rFonts w:ascii="Times New Roman" w:hAnsi="Times New Roman" w:cs="Times New Roman"/>
          <w:sz w:val="24"/>
          <w:szCs w:val="24"/>
        </w:rPr>
        <w:t xml:space="preserve"> </w:t>
      </w:r>
      <w:r w:rsidRPr="009E39C0">
        <w:rPr>
          <w:rFonts w:ascii="Times New Roman" w:hAnsi="Times New Roman" w:cs="Times New Roman"/>
          <w:sz w:val="24"/>
          <w:szCs w:val="24"/>
        </w:rPr>
        <w:t>As such, Westport's assertion that WMS was an identifiable end user is mere speculation.” </w:t>
      </w:r>
    </w:p>
    <w:p w:rsidR="00162101" w:rsidRPr="009E39C0" w:rsidRDefault="00162101" w:rsidP="00162101">
      <w:pPr>
        <w:spacing w:after="0" w:line="240" w:lineRule="auto"/>
        <w:jc w:val="both"/>
        <w:rPr>
          <w:rFonts w:ascii="Times New Roman" w:hAnsi="Times New Roman" w:cs="Times New Roman"/>
          <w:sz w:val="24"/>
          <w:szCs w:val="24"/>
        </w:rPr>
      </w:pPr>
    </w:p>
    <w:p w:rsidR="0099264C" w:rsidRPr="009E39C0" w:rsidRDefault="00162101" w:rsidP="00513E25">
      <w:pPr>
        <w:spacing w:line="240" w:lineRule="auto"/>
        <w:jc w:val="both"/>
        <w:rPr>
          <w:rFonts w:ascii="Times New Roman" w:hAnsi="Times New Roman" w:cs="Times New Roman"/>
          <w:sz w:val="24"/>
          <w:szCs w:val="24"/>
        </w:rPr>
      </w:pPr>
      <w:r w:rsidRPr="00C065D3">
        <w:rPr>
          <w:rFonts w:ascii="Times New Roman" w:hAnsi="Times New Roman" w:cs="Times New Roman"/>
          <w:i/>
          <w:sz w:val="24"/>
          <w:szCs w:val="24"/>
        </w:rPr>
        <w:t>Town of Westport v. Monsanto Co.,</w:t>
      </w:r>
      <w:r w:rsidRPr="009E39C0">
        <w:rPr>
          <w:rFonts w:ascii="Times New Roman" w:hAnsi="Times New Roman" w:cs="Times New Roman"/>
          <w:sz w:val="24"/>
          <w:szCs w:val="24"/>
        </w:rPr>
        <w:t xml:space="preserve"> 877 F. 3d 58, 68 (1st Cir. 2017) (granting defendant’s summary judgment motion).  Courts have evaluated the duty in the internet sales context.  </w:t>
      </w:r>
      <w:r w:rsidRPr="00C065D3">
        <w:rPr>
          <w:rFonts w:ascii="Times New Roman" w:hAnsi="Times New Roman" w:cs="Times New Roman"/>
          <w:i/>
          <w:sz w:val="24"/>
          <w:szCs w:val="24"/>
        </w:rPr>
        <w:t xml:space="preserve">See, e.g., </w:t>
      </w:r>
      <w:r w:rsidR="0099264C" w:rsidRPr="00C065D3">
        <w:rPr>
          <w:rFonts w:ascii="Times New Roman" w:hAnsi="Times New Roman" w:cs="Times New Roman"/>
          <w:i/>
          <w:sz w:val="24"/>
          <w:szCs w:val="24"/>
        </w:rPr>
        <w:t>Groesbeck v. Bumbo Int’l Trust,</w:t>
      </w:r>
      <w:r w:rsidR="0099264C" w:rsidRPr="009E39C0">
        <w:rPr>
          <w:rFonts w:ascii="Times New Roman" w:hAnsi="Times New Roman" w:cs="Times New Roman"/>
          <w:sz w:val="24"/>
          <w:szCs w:val="24"/>
        </w:rPr>
        <w:t xml:space="preserve"> </w:t>
      </w:r>
      <w:r w:rsidR="000E6BAF" w:rsidRPr="009E39C0">
        <w:rPr>
          <w:rFonts w:ascii="Times New Roman" w:hAnsi="Times New Roman" w:cs="Times New Roman"/>
          <w:sz w:val="24"/>
          <w:szCs w:val="24"/>
        </w:rPr>
        <w:t xml:space="preserve">718 Fed Appx. 604, 621 </w:t>
      </w:r>
      <w:r w:rsidR="0099264C" w:rsidRPr="009E39C0">
        <w:rPr>
          <w:rFonts w:ascii="Times New Roman" w:hAnsi="Times New Roman" w:cs="Times New Roman"/>
          <w:sz w:val="24"/>
          <w:szCs w:val="24"/>
        </w:rPr>
        <w:t>(10th Cir. 2017) (noting that while retailers may be able to identify online customers, and analyzing whether in-store postings in brick-and-mortar retailers would suffice).</w:t>
      </w:r>
    </w:p>
    <w:p w:rsidR="00162101" w:rsidRPr="009E39C0" w:rsidRDefault="00162101" w:rsidP="00513E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In the end, w</w:t>
      </w:r>
      <w:r w:rsidR="000F41DA" w:rsidRPr="009E39C0">
        <w:rPr>
          <w:rFonts w:ascii="Times New Roman" w:hAnsi="Times New Roman" w:cs="Times New Roman"/>
          <w:sz w:val="24"/>
          <w:szCs w:val="24"/>
        </w:rPr>
        <w:t xml:space="preserve">hen customer records are essentially unavailable, a post-sale duty likely should not arise.  </w:t>
      </w:r>
      <w:r w:rsidR="00551C3D" w:rsidRPr="00C065D3">
        <w:rPr>
          <w:rFonts w:ascii="Times New Roman" w:hAnsi="Times New Roman" w:cs="Times New Roman"/>
          <w:i/>
          <w:sz w:val="24"/>
          <w:szCs w:val="24"/>
        </w:rPr>
        <w:t xml:space="preserve">See </w:t>
      </w:r>
      <w:r w:rsidR="000F41DA" w:rsidRPr="00C065D3">
        <w:rPr>
          <w:rFonts w:ascii="Times New Roman" w:hAnsi="Times New Roman" w:cs="Times New Roman"/>
          <w:i/>
          <w:sz w:val="24"/>
          <w:szCs w:val="24"/>
        </w:rPr>
        <w:t>Restatement,</w:t>
      </w:r>
      <w:r w:rsidR="000F41DA" w:rsidRPr="009E39C0">
        <w:rPr>
          <w:rFonts w:ascii="Times New Roman" w:hAnsi="Times New Roman" w:cs="Times New Roman"/>
          <w:sz w:val="24"/>
          <w:szCs w:val="24"/>
        </w:rPr>
        <w:t xml:space="preserve"> §10, Comment e (1998).  </w:t>
      </w:r>
    </w:p>
    <w:p w:rsidR="000F41DA" w:rsidRPr="009E39C0" w:rsidRDefault="000F41DA" w:rsidP="00162101">
      <w:pPr>
        <w:spacing w:line="240" w:lineRule="auto"/>
        <w:jc w:val="center"/>
        <w:rPr>
          <w:rFonts w:ascii="Times New Roman" w:hAnsi="Times New Roman" w:cs="Times New Roman"/>
          <w:sz w:val="24"/>
          <w:szCs w:val="24"/>
        </w:rPr>
      </w:pPr>
      <w:r w:rsidRPr="00E775AA">
        <w:rPr>
          <w:rFonts w:ascii="Times New Roman" w:hAnsi="Times New Roman" w:cs="Times New Roman"/>
          <w:sz w:val="24"/>
          <w:szCs w:val="24"/>
          <w:u w:val="single"/>
        </w:rPr>
        <w:t xml:space="preserve">Can the Duty Abate When the Sale is </w:t>
      </w:r>
      <w:r w:rsidR="00162101" w:rsidRPr="00E775AA">
        <w:rPr>
          <w:rFonts w:ascii="Times New Roman" w:hAnsi="Times New Roman" w:cs="Times New Roman"/>
          <w:sz w:val="24"/>
          <w:szCs w:val="24"/>
          <w:u w:val="single"/>
        </w:rPr>
        <w:t xml:space="preserve">Simply </w:t>
      </w:r>
      <w:r w:rsidRPr="00E775AA">
        <w:rPr>
          <w:rFonts w:ascii="Times New Roman" w:hAnsi="Times New Roman" w:cs="Times New Roman"/>
          <w:sz w:val="24"/>
          <w:szCs w:val="24"/>
          <w:u w:val="single"/>
        </w:rPr>
        <w:t>Too Old</w:t>
      </w:r>
      <w:r w:rsidRPr="009E39C0">
        <w:rPr>
          <w:rFonts w:ascii="Times New Roman" w:hAnsi="Times New Roman" w:cs="Times New Roman"/>
          <w:sz w:val="24"/>
          <w:szCs w:val="24"/>
        </w:rPr>
        <w:t>?</w:t>
      </w:r>
    </w:p>
    <w:p w:rsidR="000F41DA" w:rsidRPr="009E39C0" w:rsidRDefault="005210B2" w:rsidP="00513E25">
      <w:pPr>
        <w:spacing w:line="240" w:lineRule="auto"/>
        <w:jc w:val="both"/>
        <w:rPr>
          <w:rFonts w:ascii="Times New Roman" w:hAnsi="Times New Roman" w:cs="Times New Roman"/>
          <w:sz w:val="24"/>
          <w:szCs w:val="24"/>
        </w:rPr>
      </w:pPr>
      <w:r w:rsidRPr="009E39C0">
        <w:rPr>
          <w:rFonts w:ascii="Times New Roman" w:hAnsi="Times New Roman" w:cs="Times New Roman"/>
          <w:sz w:val="24"/>
          <w:szCs w:val="24"/>
        </w:rPr>
        <w:t>Courts have focused on whether a sale simply gets too old to trigger the duty.  Thus, for example, a m</w:t>
      </w:r>
      <w:r w:rsidR="000F41DA" w:rsidRPr="009E39C0">
        <w:rPr>
          <w:rFonts w:ascii="Times New Roman" w:hAnsi="Times New Roman" w:cs="Times New Roman"/>
          <w:sz w:val="24"/>
          <w:szCs w:val="24"/>
        </w:rPr>
        <w:t xml:space="preserve">anufacturer of </w:t>
      </w:r>
      <w:r w:rsidRPr="009E39C0">
        <w:rPr>
          <w:rFonts w:ascii="Times New Roman" w:hAnsi="Times New Roman" w:cs="Times New Roman"/>
          <w:sz w:val="24"/>
          <w:szCs w:val="24"/>
        </w:rPr>
        <w:t xml:space="preserve">a </w:t>
      </w:r>
      <w:r w:rsidR="000F41DA" w:rsidRPr="009E39C0">
        <w:rPr>
          <w:rFonts w:ascii="Times New Roman" w:hAnsi="Times New Roman" w:cs="Times New Roman"/>
          <w:sz w:val="24"/>
          <w:szCs w:val="24"/>
        </w:rPr>
        <w:t xml:space="preserve">printing press sold 50 years before plaintiff’s employer acquired it was not liable </w:t>
      </w:r>
      <w:r w:rsidRPr="009E39C0">
        <w:rPr>
          <w:rFonts w:ascii="Times New Roman" w:hAnsi="Times New Roman" w:cs="Times New Roman"/>
          <w:sz w:val="24"/>
          <w:szCs w:val="24"/>
        </w:rPr>
        <w:t>for a</w:t>
      </w:r>
      <w:r w:rsidR="000F41DA" w:rsidRPr="009E39C0">
        <w:rPr>
          <w:rFonts w:ascii="Times New Roman" w:hAnsi="Times New Roman" w:cs="Times New Roman"/>
          <w:sz w:val="24"/>
          <w:szCs w:val="24"/>
        </w:rPr>
        <w:t xml:space="preserve"> post-sale duty to warn due to the passage of time.  </w:t>
      </w:r>
      <w:r w:rsidR="000F41DA" w:rsidRPr="00C065D3">
        <w:rPr>
          <w:rFonts w:ascii="Times New Roman" w:hAnsi="Times New Roman" w:cs="Times New Roman"/>
          <w:i/>
          <w:sz w:val="24"/>
          <w:szCs w:val="24"/>
        </w:rPr>
        <w:t>See Robinson v. Brandtjen &amp; Kluge, Inc.,</w:t>
      </w:r>
      <w:r w:rsidR="000F41DA" w:rsidRPr="009E39C0">
        <w:rPr>
          <w:rFonts w:ascii="Times New Roman" w:hAnsi="Times New Roman" w:cs="Times New Roman"/>
          <w:sz w:val="24"/>
          <w:szCs w:val="24"/>
        </w:rPr>
        <w:t xml:space="preserve"> 500 F.3d 691, 697 (</w:t>
      </w:r>
      <w:r w:rsidR="00551C3D" w:rsidRPr="009E39C0">
        <w:rPr>
          <w:rFonts w:ascii="Times New Roman" w:hAnsi="Times New Roman" w:cs="Times New Roman"/>
          <w:sz w:val="24"/>
          <w:szCs w:val="24"/>
        </w:rPr>
        <w:t>8th</w:t>
      </w:r>
      <w:r w:rsidR="000F41DA" w:rsidRPr="009E39C0">
        <w:rPr>
          <w:rFonts w:ascii="Times New Roman" w:hAnsi="Times New Roman" w:cs="Times New Roman"/>
          <w:sz w:val="24"/>
          <w:szCs w:val="24"/>
        </w:rPr>
        <w:t xml:space="preserve"> Cir. 2007).</w:t>
      </w:r>
      <w:r w:rsidRPr="009E39C0">
        <w:rPr>
          <w:rFonts w:ascii="Times New Roman" w:hAnsi="Times New Roman" w:cs="Times New Roman"/>
          <w:sz w:val="24"/>
          <w:szCs w:val="24"/>
        </w:rPr>
        <w:t xml:space="preserve">  A similar case noted:</w:t>
      </w:r>
    </w:p>
    <w:p w:rsidR="005210B2" w:rsidRPr="009E39C0" w:rsidRDefault="005210B2" w:rsidP="005210B2">
      <w:pPr>
        <w:spacing w:after="0" w:line="240" w:lineRule="auto"/>
        <w:ind w:left="720" w:right="720"/>
        <w:jc w:val="both"/>
        <w:rPr>
          <w:rFonts w:ascii="Times New Roman" w:hAnsi="Times New Roman" w:cs="Times New Roman"/>
          <w:sz w:val="24"/>
          <w:szCs w:val="24"/>
        </w:rPr>
      </w:pPr>
      <w:r w:rsidRPr="009E39C0">
        <w:rPr>
          <w:rFonts w:ascii="Times New Roman" w:hAnsi="Times New Roman" w:cs="Times New Roman"/>
          <w:sz w:val="24"/>
          <w:szCs w:val="24"/>
        </w:rPr>
        <w:t>“</w:t>
      </w:r>
      <w:r w:rsidR="000F41DA" w:rsidRPr="009E39C0">
        <w:rPr>
          <w:rFonts w:ascii="Times New Roman" w:hAnsi="Times New Roman" w:cs="Times New Roman"/>
          <w:sz w:val="24"/>
          <w:szCs w:val="24"/>
        </w:rPr>
        <w:t xml:space="preserve">Ariens owed no continuing duty to Lewis, who purchased the product at least second hand, sixteen years after it was originally sold, and did not own the product until years after a duty to provide additional warnings arguably arose. In these circumstances, he is a </w:t>
      </w:r>
      <w:r w:rsidRPr="009E39C0">
        <w:rPr>
          <w:rFonts w:ascii="Times New Roman" w:hAnsi="Times New Roman" w:cs="Times New Roman"/>
          <w:sz w:val="24"/>
          <w:szCs w:val="24"/>
        </w:rPr>
        <w:t>‘</w:t>
      </w:r>
      <w:r w:rsidR="000F41DA" w:rsidRPr="009E39C0">
        <w:rPr>
          <w:rFonts w:ascii="Times New Roman" w:hAnsi="Times New Roman" w:cs="Times New Roman"/>
          <w:sz w:val="24"/>
          <w:szCs w:val="24"/>
        </w:rPr>
        <w:t>member of a universe too diffuse and too large for manufacturers or sellers of original equipment to identify.</w:t>
      </w:r>
      <w:r w:rsidRPr="009E39C0">
        <w:rPr>
          <w:rFonts w:ascii="Times New Roman" w:hAnsi="Times New Roman" w:cs="Times New Roman"/>
          <w:sz w:val="24"/>
          <w:szCs w:val="24"/>
        </w:rPr>
        <w:t xml:space="preserve">’ </w:t>
      </w:r>
      <w:r w:rsidR="000F41DA" w:rsidRPr="009E39C0">
        <w:rPr>
          <w:rFonts w:ascii="Times New Roman" w:hAnsi="Times New Roman" w:cs="Times New Roman"/>
          <w:sz w:val="24"/>
          <w:szCs w:val="24"/>
        </w:rPr>
        <w:t> </w:t>
      </w:r>
      <w:hyperlink r:id="rId26" w:history="1">
        <w:r w:rsidR="000F41DA" w:rsidRPr="00C065D3">
          <w:rPr>
            <w:rFonts w:ascii="Times New Roman" w:hAnsi="Times New Roman" w:cs="Times New Roman"/>
            <w:i/>
            <w:sz w:val="24"/>
            <w:szCs w:val="24"/>
          </w:rPr>
          <w:t>Lewis v. Ariens Co</w:t>
        </w:r>
        <w:r w:rsidR="000F41DA" w:rsidRPr="009E39C0">
          <w:rPr>
            <w:rFonts w:ascii="Times New Roman" w:hAnsi="Times New Roman" w:cs="Times New Roman"/>
            <w:sz w:val="24"/>
            <w:szCs w:val="24"/>
          </w:rPr>
          <w:t>., 49 Mass. App. Ct. 301, 306 (2000)</w:t>
        </w:r>
      </w:hyperlink>
      <w:r w:rsidR="000F41DA" w:rsidRPr="009E39C0">
        <w:rPr>
          <w:rFonts w:ascii="Times New Roman" w:hAnsi="Times New Roman" w:cs="Times New Roman"/>
          <w:sz w:val="24"/>
          <w:szCs w:val="24"/>
        </w:rPr>
        <w:t xml:space="preserve">. </w:t>
      </w:r>
      <w:r w:rsidRPr="009E39C0">
        <w:rPr>
          <w:rFonts w:ascii="Times New Roman" w:hAnsi="Times New Roman" w:cs="Times New Roman"/>
          <w:sz w:val="24"/>
          <w:szCs w:val="24"/>
        </w:rPr>
        <w:t xml:space="preserve"> </w:t>
      </w:r>
      <w:r w:rsidR="000F41DA" w:rsidRPr="009E39C0">
        <w:rPr>
          <w:rFonts w:ascii="Times New Roman" w:hAnsi="Times New Roman" w:cs="Times New Roman"/>
          <w:sz w:val="24"/>
          <w:szCs w:val="24"/>
        </w:rPr>
        <w:t>It would be unreasonable to require a manufacturer to provide warnings to an individual in Lewis's circumstances.</w:t>
      </w:r>
      <w:r w:rsidRPr="009E39C0">
        <w:rPr>
          <w:rFonts w:ascii="Times New Roman" w:hAnsi="Times New Roman" w:cs="Times New Roman"/>
          <w:sz w:val="24"/>
          <w:szCs w:val="24"/>
        </w:rPr>
        <w:t xml:space="preserve"> </w:t>
      </w:r>
      <w:r w:rsidR="000F41DA" w:rsidRPr="009E39C0">
        <w:rPr>
          <w:rFonts w:ascii="Times New Roman" w:hAnsi="Times New Roman" w:cs="Times New Roman"/>
          <w:sz w:val="24"/>
          <w:szCs w:val="24"/>
        </w:rPr>
        <w:t xml:space="preserve"> Therefore, Ariens did not breach its implied warranty of merchantability by failing to warn him in 1982 or 1988 of product dangers discovered in the early 1970s shortly after the product was sold to the original purchaser.</w:t>
      </w:r>
      <w:r w:rsidRPr="009E39C0">
        <w:rPr>
          <w:rFonts w:ascii="Times New Roman" w:hAnsi="Times New Roman" w:cs="Times New Roman"/>
          <w:sz w:val="24"/>
          <w:szCs w:val="24"/>
        </w:rPr>
        <w:t>”</w:t>
      </w:r>
      <w:r w:rsidR="000F41DA" w:rsidRPr="009E39C0">
        <w:rPr>
          <w:rFonts w:ascii="Times New Roman" w:hAnsi="Times New Roman" w:cs="Times New Roman"/>
          <w:sz w:val="24"/>
          <w:szCs w:val="24"/>
        </w:rPr>
        <w:t xml:space="preserve"> </w:t>
      </w:r>
    </w:p>
    <w:p w:rsidR="005210B2" w:rsidRPr="009E39C0" w:rsidRDefault="005210B2" w:rsidP="005210B2">
      <w:pPr>
        <w:spacing w:after="0" w:line="240" w:lineRule="auto"/>
        <w:ind w:right="720"/>
        <w:jc w:val="both"/>
        <w:rPr>
          <w:rFonts w:ascii="Times New Roman" w:hAnsi="Times New Roman" w:cs="Times New Roman"/>
          <w:sz w:val="24"/>
          <w:szCs w:val="24"/>
        </w:rPr>
      </w:pPr>
    </w:p>
    <w:p w:rsidR="00867548" w:rsidRPr="009E39C0" w:rsidRDefault="000F41DA" w:rsidP="00867548">
      <w:pPr>
        <w:spacing w:after="0" w:line="240" w:lineRule="auto"/>
        <w:jc w:val="both"/>
        <w:rPr>
          <w:rFonts w:ascii="Times New Roman" w:hAnsi="Times New Roman" w:cs="Times New Roman"/>
          <w:sz w:val="24"/>
          <w:szCs w:val="24"/>
        </w:rPr>
      </w:pPr>
      <w:r w:rsidRPr="00C065D3">
        <w:rPr>
          <w:rFonts w:ascii="Times New Roman" w:hAnsi="Times New Roman" w:cs="Times New Roman"/>
          <w:i/>
          <w:sz w:val="24"/>
          <w:szCs w:val="24"/>
        </w:rPr>
        <w:t>Lewis v. Ariens,</w:t>
      </w:r>
      <w:r w:rsidRPr="009E39C0">
        <w:rPr>
          <w:rFonts w:ascii="Times New Roman" w:hAnsi="Times New Roman" w:cs="Times New Roman"/>
          <w:sz w:val="24"/>
          <w:szCs w:val="24"/>
        </w:rPr>
        <w:t xml:space="preserve"> 434 Mass. 643, 751 N.E.2d 862, 867 (2001).</w:t>
      </w:r>
      <w:r w:rsidR="00867548" w:rsidRPr="009E39C0">
        <w:rPr>
          <w:rFonts w:ascii="Times New Roman" w:hAnsi="Times New Roman" w:cs="Times New Roman"/>
          <w:sz w:val="24"/>
          <w:szCs w:val="24"/>
        </w:rPr>
        <w:t xml:space="preserve">  </w:t>
      </w:r>
      <w:r w:rsidR="00867548" w:rsidRPr="00C065D3">
        <w:rPr>
          <w:rFonts w:ascii="Times New Roman" w:hAnsi="Times New Roman" w:cs="Times New Roman"/>
          <w:i/>
          <w:sz w:val="24"/>
          <w:szCs w:val="24"/>
        </w:rPr>
        <w:t xml:space="preserve">See also Linert v. Foutz, </w:t>
      </w:r>
      <w:r w:rsidR="00867548" w:rsidRPr="009E39C0">
        <w:rPr>
          <w:rFonts w:ascii="Times New Roman" w:hAnsi="Times New Roman" w:cs="Times New Roman"/>
          <w:sz w:val="24"/>
          <w:szCs w:val="24"/>
        </w:rPr>
        <w:t>149 Ohio St. 3d 469, 477, 479, 75 N.E.3d 1218, 1227 (2016) (approving trial court’s refusal to instruct on post-sale duty because “the jury would have been left to speculate, or to fling a `plank of hypothesis' over `an abyss of uncertainty’"</w:t>
      </w:r>
      <w:r w:rsidR="00C179DC" w:rsidRPr="009E39C0">
        <w:rPr>
          <w:rFonts w:ascii="Times New Roman" w:hAnsi="Times New Roman" w:cs="Times New Roman"/>
          <w:sz w:val="24"/>
          <w:szCs w:val="24"/>
        </w:rPr>
        <w:t xml:space="preserve"> to evaluate whether the duty had been breached</w:t>
      </w:r>
      <w:r w:rsidR="00867548" w:rsidRPr="009E39C0">
        <w:rPr>
          <w:rFonts w:ascii="Times New Roman" w:hAnsi="Times New Roman" w:cs="Times New Roman"/>
          <w:sz w:val="24"/>
          <w:szCs w:val="24"/>
        </w:rPr>
        <w:t>).  </w:t>
      </w:r>
    </w:p>
    <w:p w:rsidR="000F41DA" w:rsidRPr="009E39C0" w:rsidRDefault="000F41DA" w:rsidP="005210B2">
      <w:pPr>
        <w:spacing w:after="0" w:line="240" w:lineRule="auto"/>
        <w:jc w:val="both"/>
        <w:rPr>
          <w:rFonts w:ascii="Times New Roman" w:hAnsi="Times New Roman" w:cs="Times New Roman"/>
          <w:sz w:val="24"/>
          <w:szCs w:val="24"/>
        </w:rPr>
      </w:pPr>
    </w:p>
    <w:p w:rsidR="000F41DA" w:rsidRPr="00E775AA" w:rsidRDefault="005210B2" w:rsidP="005210B2">
      <w:pPr>
        <w:spacing w:line="240" w:lineRule="auto"/>
        <w:jc w:val="center"/>
        <w:rPr>
          <w:rFonts w:ascii="Times New Roman" w:hAnsi="Times New Roman" w:cs="Times New Roman"/>
          <w:sz w:val="24"/>
          <w:szCs w:val="24"/>
          <w:u w:val="single"/>
        </w:rPr>
      </w:pPr>
      <w:r w:rsidRPr="00E775AA">
        <w:rPr>
          <w:rFonts w:ascii="Times New Roman" w:hAnsi="Times New Roman" w:cs="Times New Roman"/>
          <w:sz w:val="24"/>
          <w:szCs w:val="24"/>
          <w:u w:val="single"/>
        </w:rPr>
        <w:t>Conclusion</w:t>
      </w:r>
    </w:p>
    <w:p w:rsidR="005210B2" w:rsidRPr="009E39C0" w:rsidRDefault="005210B2" w:rsidP="005210B2">
      <w:pPr>
        <w:spacing w:after="0" w:line="240" w:lineRule="auto"/>
        <w:jc w:val="both"/>
        <w:rPr>
          <w:rFonts w:ascii="Times New Roman" w:hAnsi="Times New Roman" w:cs="Times New Roman"/>
          <w:sz w:val="24"/>
          <w:szCs w:val="24"/>
        </w:rPr>
      </w:pPr>
      <w:r w:rsidRPr="009E39C0">
        <w:rPr>
          <w:rFonts w:ascii="Times New Roman" w:hAnsi="Times New Roman" w:cs="Times New Roman"/>
          <w:sz w:val="24"/>
          <w:szCs w:val="24"/>
        </w:rPr>
        <w:t>Twenty years post-</w:t>
      </w:r>
      <w:r w:rsidRPr="00C065D3">
        <w:rPr>
          <w:rFonts w:ascii="Times New Roman" w:hAnsi="Times New Roman" w:cs="Times New Roman"/>
          <w:i/>
          <w:sz w:val="24"/>
          <w:szCs w:val="24"/>
        </w:rPr>
        <w:t>Restatement</w:t>
      </w:r>
      <w:r w:rsidRPr="009E39C0">
        <w:rPr>
          <w:rFonts w:ascii="Times New Roman" w:hAnsi="Times New Roman" w:cs="Times New Roman"/>
          <w:sz w:val="24"/>
          <w:szCs w:val="24"/>
        </w:rPr>
        <w:t>, the post-sale duty to warn has been well fleshed out by courts and commentators.  Courts recognize reasonable limits on this “monster” duty.  The tests of duty bear with them elementary notions of common sense.  Post-sale duty jurisprudence is one area of products liability law</w:t>
      </w:r>
      <w:r w:rsidR="00867548" w:rsidRPr="009E39C0">
        <w:rPr>
          <w:rFonts w:ascii="Times New Roman" w:hAnsi="Times New Roman" w:cs="Times New Roman"/>
          <w:sz w:val="24"/>
          <w:szCs w:val="24"/>
        </w:rPr>
        <w:t xml:space="preserve"> in which the pendulum of liability exposure drifts toward defense interests.</w:t>
      </w:r>
    </w:p>
    <w:p w:rsidR="000F41DA" w:rsidRPr="009E39C0" w:rsidRDefault="000F41DA">
      <w:pPr>
        <w:rPr>
          <w:rFonts w:ascii="Times New Roman" w:hAnsi="Times New Roman" w:cs="Times New Roman"/>
          <w:sz w:val="24"/>
          <w:szCs w:val="24"/>
        </w:rPr>
      </w:pPr>
    </w:p>
    <w:p w:rsidR="000F41DA" w:rsidRPr="009E39C0" w:rsidRDefault="000F41DA">
      <w:pPr>
        <w:rPr>
          <w:rFonts w:ascii="Times New Roman" w:hAnsi="Times New Roman" w:cs="Times New Roman"/>
          <w:sz w:val="24"/>
          <w:szCs w:val="24"/>
        </w:rPr>
      </w:pPr>
    </w:p>
    <w:p w:rsidR="009E39C0" w:rsidRPr="009E39C0" w:rsidRDefault="009E39C0">
      <w:pPr>
        <w:rPr>
          <w:rFonts w:ascii="Times New Roman" w:hAnsi="Times New Roman" w:cs="Times New Roman"/>
          <w:sz w:val="24"/>
          <w:szCs w:val="24"/>
        </w:rPr>
      </w:pPr>
    </w:p>
    <w:sectPr w:rsidR="009E39C0" w:rsidRPr="009E39C0" w:rsidSect="00191202">
      <w:headerReference w:type="default" r:id="rId27"/>
      <w:footerReference w:type="defaul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88" w:rsidRDefault="00B53D88" w:rsidP="00BE3097">
      <w:pPr>
        <w:spacing w:after="0" w:line="240" w:lineRule="auto"/>
      </w:pPr>
      <w:r>
        <w:separator/>
      </w:r>
    </w:p>
  </w:endnote>
  <w:endnote w:type="continuationSeparator" w:id="0">
    <w:p w:rsidR="00B53D88" w:rsidRDefault="00B53D88" w:rsidP="00BE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202" w:rsidRDefault="00191202" w:rsidP="00191202">
    <w:pPr>
      <w:pStyle w:val="Footer"/>
      <w:jc w:val="center"/>
    </w:pPr>
    <w:r w:rsidRPr="006746EE">
      <w:rPr>
        <w:noProof/>
      </w:rPr>
      <w:drawing>
        <wp:inline distT="0" distB="0" distL="0" distR="0" wp14:anchorId="54DD7786" wp14:editId="4F3F2AF1">
          <wp:extent cx="1647825" cy="273539"/>
          <wp:effectExtent l="0" t="0" r="0" b="0"/>
          <wp:docPr id="1" name="Picture 1" descr="C:\Users\jenset.LJSLAW\Pictures\LJ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et.LJSLAW\Pictures\LJS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416" cy="288743"/>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202" w:rsidRDefault="00191202" w:rsidP="00191202">
    <w:pPr>
      <w:pStyle w:val="Footer"/>
      <w:jc w:val="center"/>
    </w:pPr>
    <w:r w:rsidRPr="006746EE">
      <w:rPr>
        <w:noProof/>
      </w:rPr>
      <w:drawing>
        <wp:inline distT="0" distB="0" distL="0" distR="0" wp14:anchorId="54DD7786" wp14:editId="4F3F2AF1">
          <wp:extent cx="1647825" cy="273539"/>
          <wp:effectExtent l="0" t="0" r="0" b="0"/>
          <wp:docPr id="2" name="Picture 2" descr="C:\Users\jenset.LJSLAW\Pictures\LJ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et.LJSLAW\Pictures\LJS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416" cy="2887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88" w:rsidRDefault="00B53D88" w:rsidP="00BE3097">
      <w:pPr>
        <w:spacing w:after="0" w:line="240" w:lineRule="auto"/>
      </w:pPr>
      <w:r>
        <w:separator/>
      </w:r>
    </w:p>
  </w:footnote>
  <w:footnote w:type="continuationSeparator" w:id="0">
    <w:p w:rsidR="00B53D88" w:rsidRDefault="00B53D88" w:rsidP="00BE3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202" w:rsidRPr="00191202" w:rsidRDefault="00191202">
    <w:pPr>
      <w:pStyle w:val="Header"/>
      <w:rPr>
        <w:rFonts w:ascii="Times New Roman" w:hAnsi="Times New Roman" w:cs="Times New Roman"/>
        <w:sz w:val="24"/>
        <w:szCs w:val="24"/>
      </w:rPr>
    </w:pPr>
    <w:r w:rsidRPr="00191202">
      <w:rPr>
        <w:rFonts w:ascii="Times New Roman" w:hAnsi="Times New Roman" w:cs="Times New Roman"/>
        <w:sz w:val="24"/>
        <w:szCs w:val="24"/>
      </w:rPr>
      <w:t xml:space="preserve">Page </w:t>
    </w:r>
    <w:r w:rsidRPr="00191202">
      <w:rPr>
        <w:rFonts w:ascii="Times New Roman" w:hAnsi="Times New Roman" w:cs="Times New Roman"/>
        <w:sz w:val="24"/>
        <w:szCs w:val="24"/>
      </w:rPr>
      <w:fldChar w:fldCharType="begin"/>
    </w:r>
    <w:r w:rsidRPr="00191202">
      <w:rPr>
        <w:rFonts w:ascii="Times New Roman" w:hAnsi="Times New Roman" w:cs="Times New Roman"/>
        <w:sz w:val="24"/>
        <w:szCs w:val="24"/>
      </w:rPr>
      <w:instrText xml:space="preserve"> PAGE   \* MERGEFORMAT </w:instrText>
    </w:r>
    <w:r w:rsidRPr="00191202">
      <w:rPr>
        <w:rFonts w:ascii="Times New Roman" w:hAnsi="Times New Roman" w:cs="Times New Roman"/>
        <w:sz w:val="24"/>
        <w:szCs w:val="24"/>
      </w:rPr>
      <w:fldChar w:fldCharType="separate"/>
    </w:r>
    <w:r w:rsidR="00C21905">
      <w:rPr>
        <w:rFonts w:ascii="Times New Roman" w:hAnsi="Times New Roman" w:cs="Times New Roman"/>
        <w:noProof/>
        <w:sz w:val="24"/>
        <w:szCs w:val="24"/>
      </w:rPr>
      <w:t>2</w:t>
    </w:r>
    <w:r w:rsidRPr="00191202">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679E8"/>
    <w:multiLevelType w:val="hybridMultilevel"/>
    <w:tmpl w:val="BD76E5B6"/>
    <w:lvl w:ilvl="0" w:tplc="D8329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FF1FF0"/>
    <w:multiLevelType w:val="hybridMultilevel"/>
    <w:tmpl w:val="CAC22FDC"/>
    <w:lvl w:ilvl="0" w:tplc="25465BB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4C"/>
    <w:rsid w:val="00003064"/>
    <w:rsid w:val="00011552"/>
    <w:rsid w:val="000336E5"/>
    <w:rsid w:val="000A1E8F"/>
    <w:rsid w:val="000D34D7"/>
    <w:rsid w:val="000E0DDC"/>
    <w:rsid w:val="000E6BAF"/>
    <w:rsid w:val="000F41DA"/>
    <w:rsid w:val="00162101"/>
    <w:rsid w:val="001773A3"/>
    <w:rsid w:val="00191202"/>
    <w:rsid w:val="001B48C9"/>
    <w:rsid w:val="001E2D05"/>
    <w:rsid w:val="00204642"/>
    <w:rsid w:val="00235114"/>
    <w:rsid w:val="002519EC"/>
    <w:rsid w:val="00321C0F"/>
    <w:rsid w:val="00361D25"/>
    <w:rsid w:val="00494C6B"/>
    <w:rsid w:val="004B43A3"/>
    <w:rsid w:val="00513E25"/>
    <w:rsid w:val="005210B2"/>
    <w:rsid w:val="005453CE"/>
    <w:rsid w:val="00550C41"/>
    <w:rsid w:val="00551C3D"/>
    <w:rsid w:val="005E5E3E"/>
    <w:rsid w:val="00615BC8"/>
    <w:rsid w:val="0067214A"/>
    <w:rsid w:val="006C54B4"/>
    <w:rsid w:val="006F177F"/>
    <w:rsid w:val="007034D6"/>
    <w:rsid w:val="00721A30"/>
    <w:rsid w:val="007B3590"/>
    <w:rsid w:val="007E0FE3"/>
    <w:rsid w:val="008252C4"/>
    <w:rsid w:val="00857B6D"/>
    <w:rsid w:val="00867548"/>
    <w:rsid w:val="008C3225"/>
    <w:rsid w:val="008F4384"/>
    <w:rsid w:val="009016AD"/>
    <w:rsid w:val="00961ACE"/>
    <w:rsid w:val="0099264C"/>
    <w:rsid w:val="009E39C0"/>
    <w:rsid w:val="00A92107"/>
    <w:rsid w:val="00B50C3B"/>
    <w:rsid w:val="00B53D88"/>
    <w:rsid w:val="00BC3061"/>
    <w:rsid w:val="00BE3097"/>
    <w:rsid w:val="00BF10A0"/>
    <w:rsid w:val="00C065D3"/>
    <w:rsid w:val="00C179DC"/>
    <w:rsid w:val="00C21905"/>
    <w:rsid w:val="00C55CF8"/>
    <w:rsid w:val="00C66715"/>
    <w:rsid w:val="00D200A1"/>
    <w:rsid w:val="00D510A3"/>
    <w:rsid w:val="00D72D4F"/>
    <w:rsid w:val="00E27192"/>
    <w:rsid w:val="00E775AA"/>
    <w:rsid w:val="00EA6B0B"/>
    <w:rsid w:val="00F1148D"/>
    <w:rsid w:val="00F5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A9D72-8552-45A5-A40E-73EB02AB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16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061"/>
    <w:pPr>
      <w:framePr w:w="7920" w:h="1980" w:hRule="exact" w:hSpace="180" w:wrap="auto" w:hAnchor="page" w:xAlign="center" w:yAlign="bottom"/>
      <w:spacing w:after="0" w:line="240" w:lineRule="auto"/>
      <w:ind w:left="2880"/>
    </w:pPr>
    <w:rPr>
      <w:rFonts w:ascii="Brush Script MT" w:eastAsiaTheme="majorEastAsia" w:hAnsi="Brush Script MT" w:cstheme="majorBidi"/>
      <w:i/>
      <w:sz w:val="40"/>
      <w:szCs w:val="24"/>
    </w:rPr>
  </w:style>
  <w:style w:type="character" w:styleId="Hyperlink">
    <w:name w:val="Hyperlink"/>
    <w:basedOn w:val="DefaultParagraphFont"/>
    <w:uiPriority w:val="99"/>
    <w:unhideWhenUsed/>
    <w:rsid w:val="0099264C"/>
    <w:rPr>
      <w:color w:val="0000FF"/>
      <w:u w:val="single"/>
    </w:rPr>
  </w:style>
  <w:style w:type="paragraph" w:styleId="NormalWeb">
    <w:name w:val="Normal (Web)"/>
    <w:basedOn w:val="Normal"/>
    <w:uiPriority w:val="99"/>
    <w:semiHidden/>
    <w:unhideWhenUsed/>
    <w:rsid w:val="00992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016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16AD"/>
    <w:rPr>
      <w:rFonts w:ascii="Times New Roman" w:eastAsia="Times New Roman" w:hAnsi="Times New Roman" w:cs="Times New Roman"/>
      <w:b/>
      <w:bCs/>
      <w:sz w:val="27"/>
      <w:szCs w:val="27"/>
    </w:rPr>
  </w:style>
  <w:style w:type="paragraph" w:styleId="NoSpacing">
    <w:name w:val="No Spacing"/>
    <w:uiPriority w:val="1"/>
    <w:qFormat/>
    <w:rsid w:val="009016AD"/>
    <w:pPr>
      <w:spacing w:after="0" w:line="240" w:lineRule="auto"/>
    </w:pPr>
  </w:style>
  <w:style w:type="paragraph" w:styleId="ListParagraph">
    <w:name w:val="List Paragraph"/>
    <w:basedOn w:val="Normal"/>
    <w:uiPriority w:val="34"/>
    <w:qFormat/>
    <w:rsid w:val="000336E5"/>
    <w:pPr>
      <w:ind w:left="720"/>
      <w:contextualSpacing/>
    </w:pPr>
  </w:style>
  <w:style w:type="paragraph" w:styleId="BalloonText">
    <w:name w:val="Balloon Text"/>
    <w:basedOn w:val="Normal"/>
    <w:link w:val="BalloonTextChar"/>
    <w:uiPriority w:val="99"/>
    <w:semiHidden/>
    <w:unhideWhenUsed/>
    <w:rsid w:val="00825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C4"/>
    <w:rPr>
      <w:rFonts w:ascii="Segoe UI" w:hAnsi="Segoe UI" w:cs="Segoe UI"/>
      <w:sz w:val="18"/>
      <w:szCs w:val="18"/>
    </w:rPr>
  </w:style>
  <w:style w:type="paragraph" w:styleId="Header">
    <w:name w:val="header"/>
    <w:basedOn w:val="Normal"/>
    <w:link w:val="HeaderChar"/>
    <w:uiPriority w:val="99"/>
    <w:unhideWhenUsed/>
    <w:rsid w:val="00BE3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97"/>
  </w:style>
  <w:style w:type="paragraph" w:styleId="Footer">
    <w:name w:val="footer"/>
    <w:basedOn w:val="Normal"/>
    <w:link w:val="FooterChar"/>
    <w:uiPriority w:val="99"/>
    <w:unhideWhenUsed/>
    <w:rsid w:val="00BE3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3653">
      <w:bodyDiv w:val="1"/>
      <w:marLeft w:val="0"/>
      <w:marRight w:val="0"/>
      <w:marTop w:val="0"/>
      <w:marBottom w:val="0"/>
      <w:divBdr>
        <w:top w:val="none" w:sz="0" w:space="0" w:color="auto"/>
        <w:left w:val="none" w:sz="0" w:space="0" w:color="auto"/>
        <w:bottom w:val="none" w:sz="0" w:space="0" w:color="auto"/>
        <w:right w:val="none" w:sz="0" w:space="0" w:color="auto"/>
      </w:divBdr>
      <w:divsChild>
        <w:div w:id="2102557376">
          <w:blockQuote w:val="1"/>
          <w:marLeft w:val="0"/>
          <w:marRight w:val="0"/>
          <w:marTop w:val="240"/>
          <w:marBottom w:val="240"/>
          <w:divBdr>
            <w:top w:val="none" w:sz="0" w:space="0" w:color="auto"/>
            <w:left w:val="none" w:sz="0" w:space="0" w:color="auto"/>
            <w:bottom w:val="none" w:sz="0" w:space="0" w:color="auto"/>
            <w:right w:val="none" w:sz="0" w:space="0" w:color="auto"/>
          </w:divBdr>
        </w:div>
        <w:div w:id="1303118159">
          <w:blockQuote w:val="1"/>
          <w:marLeft w:val="0"/>
          <w:marRight w:val="0"/>
          <w:marTop w:val="240"/>
          <w:marBottom w:val="240"/>
          <w:divBdr>
            <w:top w:val="none" w:sz="0" w:space="0" w:color="auto"/>
            <w:left w:val="none" w:sz="0" w:space="0" w:color="auto"/>
            <w:bottom w:val="none" w:sz="0" w:space="0" w:color="auto"/>
            <w:right w:val="none" w:sz="0" w:space="0" w:color="auto"/>
          </w:divBdr>
        </w:div>
        <w:div w:id="836575369">
          <w:blockQuote w:val="1"/>
          <w:marLeft w:val="0"/>
          <w:marRight w:val="0"/>
          <w:marTop w:val="240"/>
          <w:marBottom w:val="240"/>
          <w:divBdr>
            <w:top w:val="none" w:sz="0" w:space="0" w:color="auto"/>
            <w:left w:val="none" w:sz="0" w:space="0" w:color="auto"/>
            <w:bottom w:val="none" w:sz="0" w:space="0" w:color="auto"/>
            <w:right w:val="none" w:sz="0" w:space="0" w:color="auto"/>
          </w:divBdr>
        </w:div>
        <w:div w:id="988821472">
          <w:blockQuote w:val="1"/>
          <w:marLeft w:val="0"/>
          <w:marRight w:val="0"/>
          <w:marTop w:val="240"/>
          <w:marBottom w:val="240"/>
          <w:divBdr>
            <w:top w:val="none" w:sz="0" w:space="0" w:color="auto"/>
            <w:left w:val="none" w:sz="0" w:space="0" w:color="auto"/>
            <w:bottom w:val="none" w:sz="0" w:space="0" w:color="auto"/>
            <w:right w:val="none" w:sz="0" w:space="0" w:color="auto"/>
          </w:divBdr>
        </w:div>
        <w:div w:id="323896744">
          <w:blockQuote w:val="1"/>
          <w:marLeft w:val="0"/>
          <w:marRight w:val="0"/>
          <w:marTop w:val="240"/>
          <w:marBottom w:val="240"/>
          <w:divBdr>
            <w:top w:val="none" w:sz="0" w:space="0" w:color="auto"/>
            <w:left w:val="none" w:sz="0" w:space="0" w:color="auto"/>
            <w:bottom w:val="none" w:sz="0" w:space="0" w:color="auto"/>
            <w:right w:val="none" w:sz="0" w:space="0" w:color="auto"/>
          </w:divBdr>
        </w:div>
        <w:div w:id="1316107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73037418">
      <w:bodyDiv w:val="1"/>
      <w:marLeft w:val="0"/>
      <w:marRight w:val="0"/>
      <w:marTop w:val="0"/>
      <w:marBottom w:val="0"/>
      <w:divBdr>
        <w:top w:val="none" w:sz="0" w:space="0" w:color="auto"/>
        <w:left w:val="none" w:sz="0" w:space="0" w:color="auto"/>
        <w:bottom w:val="none" w:sz="0" w:space="0" w:color="auto"/>
        <w:right w:val="none" w:sz="0" w:space="0" w:color="auto"/>
      </w:divBdr>
      <w:divsChild>
        <w:div w:id="624507038">
          <w:marLeft w:val="0"/>
          <w:marRight w:val="0"/>
          <w:marTop w:val="0"/>
          <w:marBottom w:val="0"/>
          <w:divBdr>
            <w:top w:val="none" w:sz="0" w:space="0" w:color="auto"/>
            <w:left w:val="none" w:sz="0" w:space="0" w:color="auto"/>
            <w:bottom w:val="none" w:sz="0" w:space="0" w:color="auto"/>
            <w:right w:val="none" w:sz="0" w:space="0" w:color="auto"/>
          </w:divBdr>
          <w:divsChild>
            <w:div w:id="187836656">
              <w:marLeft w:val="0"/>
              <w:marRight w:val="0"/>
              <w:marTop w:val="0"/>
              <w:marBottom w:val="0"/>
              <w:divBdr>
                <w:top w:val="single" w:sz="6" w:space="0" w:color="E5E5E5"/>
                <w:left w:val="single" w:sz="6" w:space="12" w:color="E5E5E5"/>
                <w:bottom w:val="single" w:sz="6" w:space="0" w:color="E5E5E5"/>
                <w:right w:val="single" w:sz="6" w:space="12" w:color="E5E5E5"/>
              </w:divBdr>
            </w:div>
          </w:divsChild>
        </w:div>
        <w:div w:id="857083910">
          <w:marLeft w:val="0"/>
          <w:marRight w:val="0"/>
          <w:marTop w:val="0"/>
          <w:marBottom w:val="0"/>
          <w:divBdr>
            <w:top w:val="none" w:sz="0" w:space="0" w:color="auto"/>
            <w:left w:val="none" w:sz="0" w:space="0" w:color="auto"/>
            <w:bottom w:val="none" w:sz="0" w:space="0" w:color="auto"/>
            <w:right w:val="none" w:sz="0" w:space="0" w:color="auto"/>
          </w:divBdr>
          <w:divsChild>
            <w:div w:id="1150713849">
              <w:marLeft w:val="0"/>
              <w:marRight w:val="0"/>
              <w:marTop w:val="0"/>
              <w:marBottom w:val="0"/>
              <w:divBdr>
                <w:top w:val="single" w:sz="6" w:space="10" w:color="E5E5E5"/>
                <w:left w:val="single" w:sz="6" w:space="31" w:color="E5E5E5"/>
                <w:bottom w:val="single" w:sz="6" w:space="10" w:color="E5E5E5"/>
                <w:right w:val="single" w:sz="6" w:space="31" w:color="E5E5E5"/>
              </w:divBdr>
              <w:divsChild>
                <w:div w:id="841160367">
                  <w:marLeft w:val="0"/>
                  <w:marRight w:val="0"/>
                  <w:marTop w:val="0"/>
                  <w:marBottom w:val="0"/>
                  <w:divBdr>
                    <w:top w:val="none" w:sz="0" w:space="0" w:color="auto"/>
                    <w:left w:val="none" w:sz="0" w:space="0" w:color="auto"/>
                    <w:bottom w:val="none" w:sz="0" w:space="0" w:color="auto"/>
                    <w:right w:val="none" w:sz="0" w:space="0" w:color="auto"/>
                  </w:divBdr>
                  <w:divsChild>
                    <w:div w:id="522354633">
                      <w:blockQuote w:val="1"/>
                      <w:marLeft w:val="0"/>
                      <w:marRight w:val="0"/>
                      <w:marTop w:val="240"/>
                      <w:marBottom w:val="240"/>
                      <w:divBdr>
                        <w:top w:val="none" w:sz="0" w:space="0" w:color="auto"/>
                        <w:left w:val="none" w:sz="0" w:space="0" w:color="auto"/>
                        <w:bottom w:val="none" w:sz="0" w:space="0" w:color="auto"/>
                        <w:right w:val="none" w:sz="0" w:space="0" w:color="auto"/>
                      </w:divBdr>
                    </w:div>
                    <w:div w:id="42140568">
                      <w:blockQuote w:val="1"/>
                      <w:marLeft w:val="0"/>
                      <w:marRight w:val="0"/>
                      <w:marTop w:val="240"/>
                      <w:marBottom w:val="240"/>
                      <w:divBdr>
                        <w:top w:val="none" w:sz="0" w:space="0" w:color="auto"/>
                        <w:left w:val="none" w:sz="0" w:space="0" w:color="auto"/>
                        <w:bottom w:val="none" w:sz="0" w:space="0" w:color="auto"/>
                        <w:right w:val="none" w:sz="0" w:space="0" w:color="auto"/>
                      </w:divBdr>
                    </w:div>
                    <w:div w:id="1545411085">
                      <w:blockQuote w:val="1"/>
                      <w:marLeft w:val="0"/>
                      <w:marRight w:val="0"/>
                      <w:marTop w:val="240"/>
                      <w:marBottom w:val="240"/>
                      <w:divBdr>
                        <w:top w:val="none" w:sz="0" w:space="0" w:color="auto"/>
                        <w:left w:val="none" w:sz="0" w:space="0" w:color="auto"/>
                        <w:bottom w:val="none" w:sz="0" w:space="0" w:color="auto"/>
                        <w:right w:val="none" w:sz="0" w:space="0" w:color="auto"/>
                      </w:divBdr>
                    </w:div>
                    <w:div w:id="183880922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jensen@lindjensen.com" TargetMode="External"/><Relationship Id="rId13" Type="http://schemas.openxmlformats.org/officeDocument/2006/relationships/hyperlink" Target="https://scholar.google.com/scholar_case?case=17610537685050847277&amp;q=%22post-sale+duty+to+warn%22+2015&amp;hl=en&amp;as_sdt=6,24" TargetMode="External"/><Relationship Id="rId18" Type="http://schemas.openxmlformats.org/officeDocument/2006/relationships/hyperlink" Target="https://scholar.google.com/scholar_case?about=11861392856344412717&amp;q=%22post-sale+duty+to+warn%22+2018&amp;hl=en&amp;as_sdt=6,24" TargetMode="External"/><Relationship Id="rId26" Type="http://schemas.openxmlformats.org/officeDocument/2006/relationships/hyperlink" Target="https://scholar.google.com/scholar_case?case=11755322949891179200&amp;q=lewis+ariens&amp;hl=en&amp;as_sdt=4,22" TargetMode="External"/><Relationship Id="rId3" Type="http://schemas.openxmlformats.org/officeDocument/2006/relationships/styles" Target="styles.xml"/><Relationship Id="rId21" Type="http://schemas.openxmlformats.org/officeDocument/2006/relationships/hyperlink" Target="https://scholar.google.com/scholar_case?case=12684787594706797330&amp;q=%22post-sale+duty+to+warn%22+2015&amp;hl=en&amp;as_sdt=6,24" TargetMode="External"/><Relationship Id="rId7" Type="http://schemas.openxmlformats.org/officeDocument/2006/relationships/endnotes" Target="endnotes.xml"/><Relationship Id="rId12" Type="http://schemas.openxmlformats.org/officeDocument/2006/relationships/hyperlink" Target="https://scholar.google.com/scholar_case?case=12513546378812185773&amp;q=%22post-sale+duty+to+warn%22+2015&amp;hl=en&amp;as_sdt=6,24" TargetMode="External"/><Relationship Id="rId17" Type="http://schemas.openxmlformats.org/officeDocument/2006/relationships/hyperlink" Target="https://scholar.google.com/scholar_case?case=1374941423572583147&amp;q=%22post-sale+duty+to+warn%22+2017&amp;hl=en&amp;as_sdt=6,24" TargetMode="External"/><Relationship Id="rId25" Type="http://schemas.openxmlformats.org/officeDocument/2006/relationships/hyperlink" Target="https://scholar.google.com/scholar_case?case=7725617930149649783&amp;q=%22That+Monsanto+maintained+a+list+of+direct+customers+has+no+bearing%22&amp;hl=en&amp;as_sdt=6,24" TargetMode="External"/><Relationship Id="rId2" Type="http://schemas.openxmlformats.org/officeDocument/2006/relationships/numbering" Target="numbering.xml"/><Relationship Id="rId16" Type="http://schemas.openxmlformats.org/officeDocument/2006/relationships/hyperlink" Target="https://scholar.google.com/scholar_case?case=17800657952629024309&amp;q=%22post-sale+duty+to+warn%22+2015&amp;hl=en&amp;as_sdt=6,24" TargetMode="External"/><Relationship Id="rId20" Type="http://schemas.openxmlformats.org/officeDocument/2006/relationships/hyperlink" Target="https://scholar.google.com/scholar_case?about=8194299145738858342&amp;q=%22post-sale+duty+to+warn%22+2016&amp;hl=en&amp;as_sdt=6,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case?case=7725617930149649783&amp;q=%22post-sale+duty+to+warn%22+2017&amp;hl=en&amp;as_sdt=6,24" TargetMode="External"/><Relationship Id="rId24" Type="http://schemas.openxmlformats.org/officeDocument/2006/relationships/hyperlink" Target="https://scholar.google.com/scholar_case?case=7725617930149649783&amp;q=%22That+Monsanto+maintained+a+list+of+direct+customers+has+no+bearing%22&amp;hl=en&amp;as_sdt=6,24" TargetMode="External"/><Relationship Id="rId5" Type="http://schemas.openxmlformats.org/officeDocument/2006/relationships/webSettings" Target="webSettings.xml"/><Relationship Id="rId15" Type="http://schemas.openxmlformats.org/officeDocument/2006/relationships/hyperlink" Target="https://scholar.google.com/scholar_case?case=17611613509915179789&amp;q=%22post-sale+duty+to+warn%22+2018&amp;hl=en&amp;as_sdt=6,24" TargetMode="External"/><Relationship Id="rId23" Type="http://schemas.openxmlformats.org/officeDocument/2006/relationships/hyperlink" Target="https://scholar.google.com/scholar_case?about=4064817700257647653&amp;q=%22post-sale%22+%22duty+to+warn%22+2018&amp;hl=en&amp;as_sdt=6,24" TargetMode="External"/><Relationship Id="rId28" Type="http://schemas.openxmlformats.org/officeDocument/2006/relationships/footer" Target="footer1.xml"/><Relationship Id="rId10" Type="http://schemas.openxmlformats.org/officeDocument/2006/relationships/hyperlink" Target="https://scholar.google.com/scholar_case?case=7725617930149649783&amp;q=%22post-sale+duty+to+warn%22+2017&amp;hl=en&amp;as_sdt=6,24" TargetMode="External"/><Relationship Id="rId19" Type="http://schemas.openxmlformats.org/officeDocument/2006/relationships/hyperlink" Target="https://scholar.google.com/scholar_case?case=416542418017590600&amp;q=%22post-sale+duty+to+warn%22+2018&amp;hl=en&amp;as_sdt=6,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google.com/scholar_case?case=15247176742182055492&amp;q=%22post-sale+duty+to+warn%22+2015&amp;hl=en&amp;as_sdt=6,24" TargetMode="External"/><Relationship Id="rId14" Type="http://schemas.openxmlformats.org/officeDocument/2006/relationships/hyperlink" Target="https://scholar.google.com/scholar_case?case=12690784383559978946&amp;q=%22post-sale+duty+to+warn%22+2014&amp;hl=en&amp;as_sdt=6,24" TargetMode="External"/><Relationship Id="rId22" Type="http://schemas.openxmlformats.org/officeDocument/2006/relationships/hyperlink" Target="https://scholar.google.com/scholar_case?case=13383820143360752713&amp;q=%22post-sale+duty+to+warn%22+2015&amp;hl=en&amp;as_sdt=6,24"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D92F-AAB7-4B23-BE7C-0A0466FC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3467</Words>
  <Characters>20595</Characters>
  <Application>Microsoft Office Word</Application>
  <DocSecurity>0</DocSecurity>
  <Lines>332</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Jensen</dc:creator>
  <cp:keywords/>
  <dc:description/>
  <cp:lastModifiedBy>Rose Duffy</cp:lastModifiedBy>
  <cp:revision>8</cp:revision>
  <cp:lastPrinted>2018-09-07T20:03:00Z</cp:lastPrinted>
  <dcterms:created xsi:type="dcterms:W3CDTF">2018-09-07T19:35:00Z</dcterms:created>
  <dcterms:modified xsi:type="dcterms:W3CDTF">2018-09-07T21:19:00Z</dcterms:modified>
</cp:coreProperties>
</file>