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A21" w:rsidRDefault="000517A5" w:rsidP="00033A21">
      <w:pPr>
        <w:spacing w:after="0" w:line="240" w:lineRule="auto"/>
        <w:jc w:val="center"/>
        <w:rPr>
          <w:rFonts w:ascii="Times New Roman" w:hAnsi="Times New Roman" w:cs="Times New Roman"/>
          <w:b/>
          <w:sz w:val="28"/>
          <w:szCs w:val="28"/>
        </w:rPr>
      </w:pPr>
      <w:r w:rsidRPr="00033A21">
        <w:rPr>
          <w:rFonts w:ascii="Times New Roman" w:hAnsi="Times New Roman" w:cs="Times New Roman"/>
          <w:b/>
          <w:sz w:val="28"/>
          <w:szCs w:val="28"/>
        </w:rPr>
        <w:t xml:space="preserve">Workers’ Compensation Bar </w:t>
      </w:r>
    </w:p>
    <w:p w:rsidR="000517A5" w:rsidRDefault="000517A5" w:rsidP="00033A21">
      <w:pPr>
        <w:spacing w:after="0"/>
        <w:jc w:val="center"/>
        <w:rPr>
          <w:rFonts w:ascii="Times New Roman" w:hAnsi="Times New Roman" w:cs="Times New Roman"/>
          <w:b/>
          <w:sz w:val="28"/>
          <w:szCs w:val="28"/>
        </w:rPr>
      </w:pPr>
      <w:r w:rsidRPr="00033A21">
        <w:rPr>
          <w:rFonts w:ascii="Times New Roman" w:hAnsi="Times New Roman" w:cs="Times New Roman"/>
          <w:b/>
          <w:sz w:val="28"/>
          <w:szCs w:val="28"/>
        </w:rPr>
        <w:t>Against Suits Against an Employer</w:t>
      </w:r>
    </w:p>
    <w:p w:rsidR="009D3C24" w:rsidRDefault="005D6511" w:rsidP="009D3C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 A. Fredrickson</w:t>
      </w:r>
    </w:p>
    <w:p w:rsidR="005D6511" w:rsidRDefault="005D6511" w:rsidP="009D3C24">
      <w:pPr>
        <w:spacing w:after="0" w:line="240" w:lineRule="auto"/>
        <w:jc w:val="center"/>
        <w:rPr>
          <w:rFonts w:ascii="Times New Roman" w:hAnsi="Times New Roman" w:cs="Times New Roman"/>
          <w:b/>
          <w:sz w:val="24"/>
          <w:szCs w:val="24"/>
        </w:rPr>
      </w:pPr>
    </w:p>
    <w:p w:rsidR="005D6511" w:rsidRDefault="005D6511" w:rsidP="009D3C24">
      <w:pPr>
        <w:spacing w:after="0" w:line="240" w:lineRule="auto"/>
        <w:jc w:val="center"/>
        <w:rPr>
          <w:rFonts w:ascii="Times New Roman" w:hAnsi="Times New Roman" w:cs="Times New Roman"/>
          <w:b/>
          <w:sz w:val="24"/>
          <w:szCs w:val="24"/>
        </w:rPr>
      </w:pPr>
    </w:p>
    <w:p w:rsidR="00033A21" w:rsidRPr="009D3C24" w:rsidRDefault="009D3C24" w:rsidP="00033A21">
      <w:pPr>
        <w:spacing w:after="0"/>
        <w:jc w:val="center"/>
        <w:rPr>
          <w:rFonts w:ascii="Times New Roman" w:hAnsi="Times New Roman" w:cs="Times New Roman"/>
          <w:b/>
          <w:sz w:val="24"/>
          <w:szCs w:val="24"/>
        </w:rPr>
      </w:pPr>
      <w:r w:rsidRPr="009D3C24">
        <w:rPr>
          <w:rFonts w:ascii="Times New Roman" w:hAnsi="Times New Roman" w:cs="Times New Roman"/>
          <w:b/>
          <w:sz w:val="24"/>
          <w:szCs w:val="24"/>
        </w:rPr>
        <w:t>Introduction</w:t>
      </w:r>
    </w:p>
    <w:p w:rsidR="00867D92" w:rsidRPr="00C268AF" w:rsidRDefault="003E2D5C" w:rsidP="009D3C24">
      <w:pPr>
        <w:spacing w:after="0" w:line="240" w:lineRule="auto"/>
        <w:ind w:firstLine="720"/>
        <w:rPr>
          <w:rFonts w:ascii="Times New Roman" w:hAnsi="Times New Roman" w:cs="Times New Roman"/>
          <w:sz w:val="24"/>
          <w:szCs w:val="24"/>
        </w:rPr>
      </w:pPr>
      <w:r w:rsidRPr="00C268AF">
        <w:rPr>
          <w:rFonts w:ascii="Times New Roman" w:hAnsi="Times New Roman" w:cs="Times New Roman"/>
          <w:sz w:val="24"/>
          <w:szCs w:val="24"/>
        </w:rPr>
        <w:t>1913 was quite a year. The 16</w:t>
      </w:r>
      <w:r w:rsidRPr="00C268AF">
        <w:rPr>
          <w:rFonts w:ascii="Times New Roman" w:hAnsi="Times New Roman" w:cs="Times New Roman"/>
          <w:sz w:val="24"/>
          <w:szCs w:val="24"/>
          <w:vertAlign w:val="superscript"/>
        </w:rPr>
        <w:t>th</w:t>
      </w:r>
      <w:r w:rsidRPr="00C268AF">
        <w:rPr>
          <w:rFonts w:ascii="Times New Roman" w:hAnsi="Times New Roman" w:cs="Times New Roman"/>
          <w:sz w:val="24"/>
          <w:szCs w:val="24"/>
        </w:rPr>
        <w:t xml:space="preserve"> amendment, allowing the federal income tax was ratified (1%) and the new President, Woodrow Wilson, created Federal Reserve Bank. </w:t>
      </w:r>
      <w:r w:rsidR="00C7073E">
        <w:rPr>
          <w:rFonts w:ascii="Times New Roman" w:hAnsi="Times New Roman" w:cs="Times New Roman"/>
          <w:sz w:val="24"/>
          <w:szCs w:val="24"/>
        </w:rPr>
        <w:t xml:space="preserve"> </w:t>
      </w:r>
      <w:r w:rsidRPr="00C268AF">
        <w:rPr>
          <w:rFonts w:ascii="Times New Roman" w:hAnsi="Times New Roman" w:cs="Times New Roman"/>
          <w:sz w:val="24"/>
          <w:szCs w:val="24"/>
        </w:rPr>
        <w:t>Oregon passed the first minimum wage law.</w:t>
      </w:r>
      <w:r w:rsidR="00C7073E">
        <w:rPr>
          <w:rFonts w:ascii="Times New Roman" w:hAnsi="Times New Roman" w:cs="Times New Roman"/>
          <w:sz w:val="24"/>
          <w:szCs w:val="24"/>
        </w:rPr>
        <w:t xml:space="preserve"> </w:t>
      </w:r>
      <w:r w:rsidRPr="00C268AF">
        <w:rPr>
          <w:rFonts w:ascii="Times New Roman" w:hAnsi="Times New Roman" w:cs="Times New Roman"/>
          <w:sz w:val="24"/>
          <w:szCs w:val="24"/>
        </w:rPr>
        <w:t xml:space="preserve"> The US Department of Labor became its own entity. </w:t>
      </w:r>
      <w:r w:rsidR="00C7073E">
        <w:rPr>
          <w:rFonts w:ascii="Times New Roman" w:hAnsi="Times New Roman" w:cs="Times New Roman"/>
          <w:sz w:val="24"/>
          <w:szCs w:val="24"/>
        </w:rPr>
        <w:t xml:space="preserve"> </w:t>
      </w:r>
      <w:r w:rsidRPr="00C268AF">
        <w:rPr>
          <w:rFonts w:ascii="Times New Roman" w:hAnsi="Times New Roman" w:cs="Times New Roman"/>
          <w:sz w:val="24"/>
          <w:szCs w:val="24"/>
        </w:rPr>
        <w:t xml:space="preserve">Stainless steel and the all purpose zipper were invented. The first coast to coast paved highway was opened and the first “sedan” went on sale. </w:t>
      </w:r>
      <w:r w:rsidR="00C7073E">
        <w:rPr>
          <w:rFonts w:ascii="Times New Roman" w:hAnsi="Times New Roman" w:cs="Times New Roman"/>
          <w:sz w:val="24"/>
          <w:szCs w:val="24"/>
        </w:rPr>
        <w:t xml:space="preserve"> </w:t>
      </w:r>
      <w:r w:rsidRPr="00C268AF">
        <w:rPr>
          <w:rFonts w:ascii="Times New Roman" w:hAnsi="Times New Roman" w:cs="Times New Roman"/>
          <w:sz w:val="24"/>
          <w:szCs w:val="24"/>
        </w:rPr>
        <w:t xml:space="preserve">Ford opened its first moving assembly line and there were many nationwide and local strikes, general labor unrest and industrial and mining disasters. In Minnesota, the legislature passed the Minnesota Workers’ Compensation </w:t>
      </w:r>
      <w:r w:rsidR="00ED0F76" w:rsidRPr="00C268AF">
        <w:rPr>
          <w:rFonts w:ascii="Times New Roman" w:hAnsi="Times New Roman" w:cs="Times New Roman"/>
          <w:sz w:val="24"/>
          <w:szCs w:val="24"/>
        </w:rPr>
        <w:t>Act (</w:t>
      </w:r>
      <w:r w:rsidRPr="00C268AF">
        <w:rPr>
          <w:rFonts w:ascii="Times New Roman" w:hAnsi="Times New Roman" w:cs="Times New Roman"/>
          <w:sz w:val="24"/>
          <w:szCs w:val="24"/>
        </w:rPr>
        <w:t>the “Act”).</w:t>
      </w:r>
    </w:p>
    <w:p w:rsidR="00372E9A" w:rsidRDefault="00372E9A" w:rsidP="00372E9A">
      <w:pPr>
        <w:spacing w:after="0" w:line="240" w:lineRule="auto"/>
        <w:rPr>
          <w:rFonts w:ascii="Times New Roman" w:hAnsi="Times New Roman" w:cs="Times New Roman"/>
          <w:sz w:val="24"/>
          <w:szCs w:val="24"/>
        </w:rPr>
      </w:pPr>
    </w:p>
    <w:p w:rsidR="000517A5" w:rsidRPr="00C268AF" w:rsidRDefault="003E2D5C" w:rsidP="00372E9A">
      <w:pPr>
        <w:spacing w:after="0" w:line="240" w:lineRule="auto"/>
        <w:rPr>
          <w:rFonts w:ascii="Times New Roman" w:hAnsi="Times New Roman" w:cs="Times New Roman"/>
          <w:sz w:val="24"/>
          <w:szCs w:val="24"/>
        </w:rPr>
      </w:pPr>
      <w:r w:rsidRPr="00C268AF">
        <w:rPr>
          <w:rFonts w:ascii="Times New Roman" w:hAnsi="Times New Roman" w:cs="Times New Roman"/>
          <w:sz w:val="24"/>
          <w:szCs w:val="24"/>
        </w:rPr>
        <w:tab/>
        <w:t xml:space="preserve">Like similar acts in most states, the Act formed as a result of a “grand compromise” between labor and industry. Prior to the act, an employee injured on the job typically had no safety net. </w:t>
      </w:r>
      <w:r w:rsidR="00515FDB">
        <w:rPr>
          <w:rFonts w:ascii="Times New Roman" w:hAnsi="Times New Roman" w:cs="Times New Roman"/>
          <w:sz w:val="24"/>
          <w:szCs w:val="24"/>
        </w:rPr>
        <w:t xml:space="preserve"> </w:t>
      </w:r>
      <w:r w:rsidRPr="00C268AF">
        <w:rPr>
          <w:rFonts w:ascii="Times New Roman" w:hAnsi="Times New Roman" w:cs="Times New Roman"/>
          <w:sz w:val="24"/>
          <w:szCs w:val="24"/>
        </w:rPr>
        <w:t>If he could prove that the employer was negligent, he might have a shot at recovering in tort</w:t>
      </w:r>
      <w:r w:rsidR="00BB04E2" w:rsidRPr="00C268AF">
        <w:rPr>
          <w:rFonts w:ascii="Times New Roman" w:hAnsi="Times New Roman" w:cs="Times New Roman"/>
          <w:sz w:val="24"/>
          <w:szCs w:val="24"/>
        </w:rPr>
        <w:t>, but the employer had many common law defenses…the employee’s claim was barred if he had any fault in causing the injury (the concept of comparative fault did not exist), or had assumed the risk of the injury, or if a co-employee’s fault caused the injury. If he won, he got to recover the full amount of his damages, including pain and suffering, but in the meantime, he paid his own medical bills and had no source of income. Employers, while somewhat concerned with having to pay tort damages and deal with the effects of litigation on an ongoing business, were more concerned that they would soon be forced to provide significant benefits to all employees as a result of the growing strength of unionized labor and public outcry.</w:t>
      </w:r>
    </w:p>
    <w:p w:rsidR="00372E9A" w:rsidRDefault="00372E9A" w:rsidP="00372E9A">
      <w:pPr>
        <w:spacing w:after="0" w:line="240" w:lineRule="auto"/>
        <w:ind w:firstLine="720"/>
        <w:rPr>
          <w:rFonts w:ascii="Times New Roman" w:hAnsi="Times New Roman" w:cs="Times New Roman"/>
          <w:sz w:val="24"/>
          <w:szCs w:val="24"/>
        </w:rPr>
      </w:pPr>
    </w:p>
    <w:p w:rsidR="003E2D5C" w:rsidRPr="00C268AF" w:rsidRDefault="00BB04E2" w:rsidP="00372E9A">
      <w:pPr>
        <w:spacing w:after="0" w:line="240" w:lineRule="auto"/>
        <w:ind w:firstLine="720"/>
        <w:rPr>
          <w:rFonts w:ascii="Times New Roman" w:hAnsi="Times New Roman" w:cs="Times New Roman"/>
          <w:sz w:val="24"/>
          <w:szCs w:val="24"/>
        </w:rPr>
      </w:pPr>
      <w:r w:rsidRPr="00C268AF">
        <w:rPr>
          <w:rFonts w:ascii="Times New Roman" w:hAnsi="Times New Roman" w:cs="Times New Roman"/>
          <w:sz w:val="24"/>
          <w:szCs w:val="24"/>
        </w:rPr>
        <w:t xml:space="preserve"> So was born the idea of a “no-fault” system to compensate employees injured on the job, but to limit that compensation to specifically delineated benefits, funded by insurance programs, in exchange for eliminating the employee’s common law right to sue his employer for injuries. Also eliminated in this compromise w</w:t>
      </w:r>
      <w:r w:rsidR="004C5F5D">
        <w:rPr>
          <w:rFonts w:ascii="Times New Roman" w:hAnsi="Times New Roman" w:cs="Times New Roman"/>
          <w:sz w:val="24"/>
          <w:szCs w:val="24"/>
        </w:rPr>
        <w:t>ere</w:t>
      </w:r>
      <w:r w:rsidRPr="00C268AF">
        <w:rPr>
          <w:rFonts w:ascii="Times New Roman" w:hAnsi="Times New Roman" w:cs="Times New Roman"/>
          <w:sz w:val="24"/>
          <w:szCs w:val="24"/>
        </w:rPr>
        <w:t xml:space="preserve"> the employer’s common law defenses. </w:t>
      </w:r>
      <w:r w:rsidR="004C5F5D">
        <w:rPr>
          <w:rFonts w:ascii="Times New Roman" w:hAnsi="Times New Roman" w:cs="Times New Roman"/>
          <w:sz w:val="24"/>
          <w:szCs w:val="24"/>
        </w:rPr>
        <w:t xml:space="preserve"> </w:t>
      </w:r>
      <w:r w:rsidRPr="00C268AF">
        <w:rPr>
          <w:rFonts w:ascii="Times New Roman" w:hAnsi="Times New Roman" w:cs="Times New Roman"/>
          <w:sz w:val="24"/>
          <w:szCs w:val="24"/>
        </w:rPr>
        <w:t>Essentially, this system still exists today, 102 years later.</w:t>
      </w:r>
      <w:r w:rsidR="00844FE3" w:rsidRPr="00C268AF">
        <w:rPr>
          <w:rStyle w:val="FootnoteReference"/>
          <w:rFonts w:ascii="Times New Roman" w:hAnsi="Times New Roman" w:cs="Times New Roman"/>
          <w:sz w:val="24"/>
          <w:szCs w:val="24"/>
        </w:rPr>
        <w:footnoteReference w:id="1"/>
      </w:r>
      <w:r w:rsidR="000517A5" w:rsidRPr="00C268AF">
        <w:rPr>
          <w:rFonts w:ascii="Times New Roman" w:hAnsi="Times New Roman" w:cs="Times New Roman"/>
          <w:sz w:val="24"/>
          <w:szCs w:val="24"/>
        </w:rPr>
        <w:t xml:space="preserve"> </w:t>
      </w:r>
      <w:r w:rsidR="004C5F5D">
        <w:rPr>
          <w:rFonts w:ascii="Times New Roman" w:hAnsi="Times New Roman" w:cs="Times New Roman"/>
          <w:sz w:val="24"/>
          <w:szCs w:val="24"/>
        </w:rPr>
        <w:t xml:space="preserve"> </w:t>
      </w:r>
      <w:r w:rsidR="000517A5" w:rsidRPr="00C268AF">
        <w:rPr>
          <w:rFonts w:ascii="Times New Roman" w:hAnsi="Times New Roman" w:cs="Times New Roman"/>
          <w:sz w:val="24"/>
          <w:szCs w:val="24"/>
        </w:rPr>
        <w:t xml:space="preserve">However, over a hundred years, as the relationship between labor and capital has changed, opportunities to change the grand compromise and allow “employees” to sue their “employer” for work injuries have arisen and met with varying degrees of success. </w:t>
      </w:r>
      <w:r w:rsidR="004C5F5D">
        <w:rPr>
          <w:rFonts w:ascii="Times New Roman" w:hAnsi="Times New Roman" w:cs="Times New Roman"/>
          <w:sz w:val="24"/>
          <w:szCs w:val="24"/>
        </w:rPr>
        <w:t xml:space="preserve"> </w:t>
      </w:r>
      <w:r w:rsidR="000517A5" w:rsidRPr="00C268AF">
        <w:rPr>
          <w:rFonts w:ascii="Times New Roman" w:hAnsi="Times New Roman" w:cs="Times New Roman"/>
          <w:sz w:val="24"/>
          <w:szCs w:val="24"/>
        </w:rPr>
        <w:t>This article wi</w:t>
      </w:r>
      <w:r w:rsidR="004C5F5D">
        <w:rPr>
          <w:rFonts w:ascii="Times New Roman" w:hAnsi="Times New Roman" w:cs="Times New Roman"/>
          <w:sz w:val="24"/>
          <w:szCs w:val="24"/>
        </w:rPr>
        <w:t>ll</w:t>
      </w:r>
      <w:r w:rsidR="000517A5" w:rsidRPr="00C268AF">
        <w:rPr>
          <w:rFonts w:ascii="Times New Roman" w:hAnsi="Times New Roman" w:cs="Times New Roman"/>
          <w:sz w:val="24"/>
          <w:szCs w:val="24"/>
        </w:rPr>
        <w:t xml:space="preserve"> discuss the various instances where the “workers’ compensation bar” to common law claims against a</w:t>
      </w:r>
      <w:r w:rsidR="00055BEE">
        <w:rPr>
          <w:rFonts w:ascii="Times New Roman" w:hAnsi="Times New Roman" w:cs="Times New Roman"/>
          <w:sz w:val="24"/>
          <w:szCs w:val="24"/>
        </w:rPr>
        <w:t>n employer have been challenged</w:t>
      </w:r>
      <w:r w:rsidR="000517A5" w:rsidRPr="00C268AF">
        <w:rPr>
          <w:rFonts w:ascii="Times New Roman" w:hAnsi="Times New Roman" w:cs="Times New Roman"/>
          <w:sz w:val="24"/>
          <w:szCs w:val="24"/>
        </w:rPr>
        <w:t xml:space="preserve">. </w:t>
      </w:r>
    </w:p>
    <w:p w:rsidR="007D14EA" w:rsidRDefault="00BB04E2" w:rsidP="007D14EA">
      <w:pPr>
        <w:spacing w:after="0" w:line="240" w:lineRule="auto"/>
        <w:ind w:firstLine="480"/>
        <w:rPr>
          <w:rFonts w:ascii="Times New Roman" w:hAnsi="Times New Roman" w:cs="Times New Roman"/>
          <w:color w:val="000000" w:themeColor="text1"/>
          <w:sz w:val="24"/>
          <w:szCs w:val="24"/>
        </w:rPr>
      </w:pPr>
      <w:r w:rsidRPr="007C302D">
        <w:rPr>
          <w:rFonts w:ascii="Times New Roman" w:hAnsi="Times New Roman" w:cs="Times New Roman"/>
          <w:color w:val="000000" w:themeColor="text1"/>
          <w:sz w:val="24"/>
          <w:szCs w:val="24"/>
        </w:rPr>
        <w:tab/>
      </w:r>
    </w:p>
    <w:p w:rsidR="007B335B" w:rsidRPr="007C302D" w:rsidRDefault="00BB04E2" w:rsidP="007D14EA">
      <w:pPr>
        <w:spacing w:after="0" w:line="240" w:lineRule="auto"/>
        <w:ind w:firstLine="480"/>
        <w:rPr>
          <w:rFonts w:ascii="Times New Roman" w:eastAsia="Times New Roman" w:hAnsi="Times New Roman" w:cs="Times New Roman"/>
          <w:color w:val="000000" w:themeColor="text1"/>
          <w:sz w:val="24"/>
          <w:szCs w:val="24"/>
        </w:rPr>
      </w:pPr>
      <w:r w:rsidRPr="007C302D">
        <w:rPr>
          <w:rFonts w:ascii="Times New Roman" w:hAnsi="Times New Roman" w:cs="Times New Roman"/>
          <w:color w:val="000000" w:themeColor="text1"/>
          <w:sz w:val="24"/>
          <w:szCs w:val="24"/>
        </w:rPr>
        <w:t xml:space="preserve">Minn. Stat. Section 176.031 is the codification of the compromise: </w:t>
      </w:r>
      <w:r w:rsidR="007B335B" w:rsidRPr="007C302D">
        <w:rPr>
          <w:rFonts w:ascii="Times New Roman" w:hAnsi="Times New Roman" w:cs="Times New Roman"/>
          <w:color w:val="000000" w:themeColor="text1"/>
          <w:sz w:val="24"/>
          <w:szCs w:val="24"/>
        </w:rPr>
        <w:t>“</w:t>
      </w:r>
      <w:r w:rsidR="0056471D" w:rsidRPr="007C302D">
        <w:rPr>
          <w:rFonts w:ascii="Times New Roman" w:eastAsia="Times New Roman" w:hAnsi="Times New Roman" w:cs="Times New Roman"/>
          <w:color w:val="000000" w:themeColor="text1"/>
          <w:sz w:val="24"/>
          <w:szCs w:val="24"/>
        </w:rPr>
        <w:t>The liability of an employer prescribed by this chapter is exclusive and in the place of any other liability to such employee, personal representative, surviving spouse, parent, any child, dependent, next of kin, or other person entitled to recover damages on account of such injury or death.</w:t>
      </w:r>
      <w:r w:rsidR="007B335B" w:rsidRPr="007C302D">
        <w:rPr>
          <w:rFonts w:ascii="Times New Roman" w:eastAsia="Times New Roman" w:hAnsi="Times New Roman" w:cs="Times New Roman"/>
          <w:color w:val="000000" w:themeColor="text1"/>
          <w:sz w:val="24"/>
          <w:szCs w:val="24"/>
        </w:rPr>
        <w:t>”</w:t>
      </w:r>
    </w:p>
    <w:p w:rsidR="007B335B" w:rsidRPr="007C302D" w:rsidRDefault="007B335B" w:rsidP="00372E9A">
      <w:pPr>
        <w:spacing w:after="0" w:line="240" w:lineRule="auto"/>
        <w:ind w:firstLine="480"/>
        <w:rPr>
          <w:rFonts w:ascii="Times New Roman" w:eastAsia="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t>There are, however, certain exceptions to this general rule in Minnesota, and there are other theories that would create exceptions which have not been adopted in Minnesota.</w:t>
      </w:r>
      <w:r w:rsidR="00AD2BD6" w:rsidRPr="007C302D">
        <w:rPr>
          <w:rFonts w:ascii="Times New Roman" w:eastAsia="Times New Roman" w:hAnsi="Times New Roman" w:cs="Times New Roman"/>
          <w:color w:val="000000" w:themeColor="text1"/>
          <w:sz w:val="24"/>
          <w:szCs w:val="24"/>
        </w:rPr>
        <w:t xml:space="preserve"> </w:t>
      </w:r>
      <w:r w:rsidR="00AD2BD6" w:rsidRPr="007C302D">
        <w:rPr>
          <w:rStyle w:val="FootnoteReference"/>
          <w:rFonts w:ascii="Times New Roman" w:eastAsia="Times New Roman" w:hAnsi="Times New Roman" w:cs="Times New Roman"/>
          <w:color w:val="000000" w:themeColor="text1"/>
          <w:sz w:val="24"/>
          <w:szCs w:val="24"/>
        </w:rPr>
        <w:footnoteReference w:id="2"/>
      </w:r>
    </w:p>
    <w:p w:rsidR="006073E2" w:rsidRDefault="006073E2" w:rsidP="00372E9A">
      <w:pPr>
        <w:spacing w:after="0" w:line="240" w:lineRule="auto"/>
        <w:ind w:firstLine="480"/>
        <w:jc w:val="center"/>
        <w:rPr>
          <w:rFonts w:ascii="Times New Roman" w:eastAsia="Times New Roman" w:hAnsi="Times New Roman" w:cs="Times New Roman"/>
          <w:b/>
          <w:color w:val="000000" w:themeColor="text1"/>
          <w:sz w:val="24"/>
          <w:szCs w:val="24"/>
          <w:u w:val="single"/>
        </w:rPr>
      </w:pPr>
    </w:p>
    <w:p w:rsidR="0056471D" w:rsidRDefault="007B335B" w:rsidP="0013042E">
      <w:pPr>
        <w:pStyle w:val="ListParagraph"/>
        <w:numPr>
          <w:ilvl w:val="0"/>
          <w:numId w:val="6"/>
        </w:numPr>
        <w:spacing w:after="0" w:line="300" w:lineRule="atLeast"/>
        <w:ind w:left="720"/>
        <w:rPr>
          <w:rFonts w:ascii="Times New Roman" w:eastAsia="Times New Roman" w:hAnsi="Times New Roman" w:cs="Times New Roman"/>
          <w:b/>
          <w:color w:val="000000" w:themeColor="text1"/>
          <w:sz w:val="24"/>
          <w:szCs w:val="24"/>
        </w:rPr>
      </w:pPr>
      <w:r w:rsidRPr="0013042E">
        <w:rPr>
          <w:rFonts w:ascii="Times New Roman" w:eastAsia="Times New Roman" w:hAnsi="Times New Roman" w:cs="Times New Roman"/>
          <w:b/>
          <w:color w:val="000000" w:themeColor="text1"/>
          <w:sz w:val="24"/>
          <w:szCs w:val="24"/>
        </w:rPr>
        <w:t>Exceptions to the Workers’ Compensation Bar</w:t>
      </w:r>
    </w:p>
    <w:p w:rsidR="0013042E" w:rsidRPr="0013042E" w:rsidRDefault="0013042E" w:rsidP="0013042E">
      <w:pPr>
        <w:pStyle w:val="ListParagraph"/>
        <w:spacing w:after="0" w:line="300" w:lineRule="atLeast"/>
        <w:ind w:left="1440"/>
        <w:rPr>
          <w:rFonts w:ascii="Times New Roman" w:eastAsia="Times New Roman" w:hAnsi="Times New Roman" w:cs="Times New Roman"/>
          <w:b/>
          <w:color w:val="000000" w:themeColor="text1"/>
          <w:sz w:val="24"/>
          <w:szCs w:val="24"/>
        </w:rPr>
      </w:pPr>
    </w:p>
    <w:p w:rsidR="007B335B" w:rsidRPr="00475328" w:rsidRDefault="007B335B" w:rsidP="0013042E">
      <w:pPr>
        <w:pStyle w:val="ListParagraph"/>
        <w:numPr>
          <w:ilvl w:val="0"/>
          <w:numId w:val="8"/>
        </w:numPr>
        <w:spacing w:after="0" w:line="300" w:lineRule="atLeast"/>
        <w:ind w:left="1440" w:hanging="720"/>
        <w:rPr>
          <w:rFonts w:ascii="Times New Roman" w:eastAsia="Times New Roman" w:hAnsi="Times New Roman" w:cs="Times New Roman"/>
          <w:color w:val="000000" w:themeColor="text1"/>
          <w:sz w:val="24"/>
          <w:szCs w:val="24"/>
        </w:rPr>
      </w:pPr>
      <w:r w:rsidRPr="00475328">
        <w:rPr>
          <w:rFonts w:ascii="Times New Roman" w:eastAsia="Times New Roman" w:hAnsi="Times New Roman" w:cs="Times New Roman"/>
          <w:color w:val="000000" w:themeColor="text1"/>
          <w:sz w:val="24"/>
          <w:szCs w:val="24"/>
        </w:rPr>
        <w:t>Employers</w:t>
      </w:r>
      <w:r w:rsidR="00BA00E7" w:rsidRPr="00475328">
        <w:rPr>
          <w:rFonts w:ascii="Times New Roman" w:eastAsia="Times New Roman" w:hAnsi="Times New Roman" w:cs="Times New Roman"/>
          <w:color w:val="000000" w:themeColor="text1"/>
          <w:sz w:val="24"/>
          <w:szCs w:val="24"/>
        </w:rPr>
        <w:t xml:space="preserve"> </w:t>
      </w:r>
      <w:r w:rsidR="000D49A5" w:rsidRPr="00475328">
        <w:rPr>
          <w:rFonts w:ascii="Times New Roman" w:eastAsia="Times New Roman" w:hAnsi="Times New Roman" w:cs="Times New Roman"/>
          <w:color w:val="000000" w:themeColor="text1"/>
          <w:sz w:val="24"/>
          <w:szCs w:val="24"/>
        </w:rPr>
        <w:t>W</w:t>
      </w:r>
      <w:r w:rsidRPr="00475328">
        <w:rPr>
          <w:rFonts w:ascii="Times New Roman" w:eastAsia="Times New Roman" w:hAnsi="Times New Roman" w:cs="Times New Roman"/>
          <w:color w:val="000000" w:themeColor="text1"/>
          <w:sz w:val="24"/>
          <w:szCs w:val="24"/>
        </w:rPr>
        <w:t xml:space="preserve">ho </w:t>
      </w:r>
      <w:r w:rsidR="000D49A5" w:rsidRPr="00475328">
        <w:rPr>
          <w:rFonts w:ascii="Times New Roman" w:eastAsia="Times New Roman" w:hAnsi="Times New Roman" w:cs="Times New Roman"/>
          <w:color w:val="000000" w:themeColor="text1"/>
          <w:sz w:val="24"/>
          <w:szCs w:val="24"/>
        </w:rPr>
        <w:t>D</w:t>
      </w:r>
      <w:r w:rsidRPr="00475328">
        <w:rPr>
          <w:rFonts w:ascii="Times New Roman" w:eastAsia="Times New Roman" w:hAnsi="Times New Roman" w:cs="Times New Roman"/>
          <w:color w:val="000000" w:themeColor="text1"/>
          <w:sz w:val="24"/>
          <w:szCs w:val="24"/>
        </w:rPr>
        <w:t xml:space="preserve">o </w:t>
      </w:r>
      <w:r w:rsidR="000D49A5" w:rsidRPr="00475328">
        <w:rPr>
          <w:rFonts w:ascii="Times New Roman" w:eastAsia="Times New Roman" w:hAnsi="Times New Roman" w:cs="Times New Roman"/>
          <w:color w:val="000000" w:themeColor="text1"/>
          <w:sz w:val="24"/>
          <w:szCs w:val="24"/>
        </w:rPr>
        <w:t>N</w:t>
      </w:r>
      <w:r w:rsidRPr="00475328">
        <w:rPr>
          <w:rFonts w:ascii="Times New Roman" w:eastAsia="Times New Roman" w:hAnsi="Times New Roman" w:cs="Times New Roman"/>
          <w:color w:val="000000" w:themeColor="text1"/>
          <w:sz w:val="24"/>
          <w:szCs w:val="24"/>
        </w:rPr>
        <w:t xml:space="preserve">ot </w:t>
      </w:r>
      <w:r w:rsidR="00BA00E7" w:rsidRPr="00475328">
        <w:rPr>
          <w:rFonts w:ascii="Times New Roman" w:eastAsia="Times New Roman" w:hAnsi="Times New Roman" w:cs="Times New Roman"/>
          <w:color w:val="000000" w:themeColor="text1"/>
          <w:sz w:val="24"/>
          <w:szCs w:val="24"/>
        </w:rPr>
        <w:t>O</w:t>
      </w:r>
      <w:r w:rsidRPr="00475328">
        <w:rPr>
          <w:rFonts w:ascii="Times New Roman" w:eastAsia="Times New Roman" w:hAnsi="Times New Roman" w:cs="Times New Roman"/>
          <w:color w:val="000000" w:themeColor="text1"/>
          <w:sz w:val="24"/>
          <w:szCs w:val="24"/>
        </w:rPr>
        <w:t xml:space="preserve">btain </w:t>
      </w:r>
      <w:r w:rsidR="00BA00E7" w:rsidRPr="00475328">
        <w:rPr>
          <w:rFonts w:ascii="Times New Roman" w:eastAsia="Times New Roman" w:hAnsi="Times New Roman" w:cs="Times New Roman"/>
          <w:color w:val="000000" w:themeColor="text1"/>
          <w:sz w:val="24"/>
          <w:szCs w:val="24"/>
        </w:rPr>
        <w:t>R</w:t>
      </w:r>
      <w:r w:rsidRPr="00475328">
        <w:rPr>
          <w:rFonts w:ascii="Times New Roman" w:eastAsia="Times New Roman" w:hAnsi="Times New Roman" w:cs="Times New Roman"/>
          <w:color w:val="000000" w:themeColor="text1"/>
          <w:sz w:val="24"/>
          <w:szCs w:val="24"/>
        </w:rPr>
        <w:t xml:space="preserve">equired </w:t>
      </w:r>
      <w:r w:rsidR="00BA00E7" w:rsidRPr="00475328">
        <w:rPr>
          <w:rFonts w:ascii="Times New Roman" w:eastAsia="Times New Roman" w:hAnsi="Times New Roman" w:cs="Times New Roman"/>
          <w:color w:val="000000" w:themeColor="text1"/>
          <w:sz w:val="24"/>
          <w:szCs w:val="24"/>
        </w:rPr>
        <w:t>I</w:t>
      </w:r>
      <w:r w:rsidRPr="00475328">
        <w:rPr>
          <w:rFonts w:ascii="Times New Roman" w:eastAsia="Times New Roman" w:hAnsi="Times New Roman" w:cs="Times New Roman"/>
          <w:color w:val="000000" w:themeColor="text1"/>
          <w:sz w:val="24"/>
          <w:szCs w:val="24"/>
        </w:rPr>
        <w:t xml:space="preserve">nsurance or </w:t>
      </w:r>
      <w:r w:rsidR="00BA00E7" w:rsidRPr="00475328">
        <w:rPr>
          <w:rFonts w:ascii="Times New Roman" w:eastAsia="Times New Roman" w:hAnsi="Times New Roman" w:cs="Times New Roman"/>
          <w:color w:val="000000" w:themeColor="text1"/>
          <w:sz w:val="24"/>
          <w:szCs w:val="24"/>
        </w:rPr>
        <w:t>S</w:t>
      </w:r>
      <w:r w:rsidRPr="00475328">
        <w:rPr>
          <w:rFonts w:ascii="Times New Roman" w:eastAsia="Times New Roman" w:hAnsi="Times New Roman" w:cs="Times New Roman"/>
          <w:color w:val="000000" w:themeColor="text1"/>
          <w:sz w:val="24"/>
          <w:szCs w:val="24"/>
        </w:rPr>
        <w:t>elf-</w:t>
      </w:r>
      <w:r w:rsidR="00BA00E7" w:rsidRPr="00475328">
        <w:rPr>
          <w:rFonts w:ascii="Times New Roman" w:eastAsia="Times New Roman" w:hAnsi="Times New Roman" w:cs="Times New Roman"/>
          <w:color w:val="000000" w:themeColor="text1"/>
          <w:sz w:val="24"/>
          <w:szCs w:val="24"/>
        </w:rPr>
        <w:t>I</w:t>
      </w:r>
      <w:r w:rsidRPr="00475328">
        <w:rPr>
          <w:rFonts w:ascii="Times New Roman" w:eastAsia="Times New Roman" w:hAnsi="Times New Roman" w:cs="Times New Roman"/>
          <w:color w:val="000000" w:themeColor="text1"/>
          <w:sz w:val="24"/>
          <w:szCs w:val="24"/>
        </w:rPr>
        <w:t>nsurance.</w:t>
      </w:r>
    </w:p>
    <w:p w:rsidR="006073E2" w:rsidRDefault="006073E2" w:rsidP="006073E2">
      <w:pPr>
        <w:spacing w:after="0" w:line="300" w:lineRule="atLeast"/>
        <w:ind w:left="720"/>
        <w:rPr>
          <w:rFonts w:ascii="Times New Roman" w:eastAsia="Times New Roman" w:hAnsi="Times New Roman" w:cs="Times New Roman"/>
          <w:color w:val="000000" w:themeColor="text1"/>
          <w:sz w:val="24"/>
          <w:szCs w:val="24"/>
        </w:rPr>
      </w:pPr>
    </w:p>
    <w:p w:rsidR="007C1C6B" w:rsidRDefault="007C1C6B" w:rsidP="00BF7A5B">
      <w:pPr>
        <w:spacing w:after="0" w:line="240" w:lineRule="auto"/>
        <w:ind w:left="720"/>
        <w:rPr>
          <w:rFonts w:ascii="Times New Roman" w:eastAsia="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t>Employers who do not participate in the workers’ compensation system by buying the mandatory insurance, or appropriately self-insuring against workers’ compensation exposure</w:t>
      </w:r>
      <w:r w:rsidR="00B60EAE">
        <w:rPr>
          <w:rFonts w:ascii="Times New Roman" w:eastAsia="Times New Roman" w:hAnsi="Times New Roman" w:cs="Times New Roman"/>
          <w:color w:val="000000" w:themeColor="text1"/>
          <w:sz w:val="24"/>
          <w:szCs w:val="24"/>
        </w:rPr>
        <w:t>,</w:t>
      </w:r>
      <w:r w:rsidRPr="007C302D">
        <w:rPr>
          <w:rFonts w:ascii="Times New Roman" w:eastAsia="Times New Roman" w:hAnsi="Times New Roman" w:cs="Times New Roman"/>
          <w:color w:val="000000" w:themeColor="text1"/>
          <w:sz w:val="24"/>
          <w:szCs w:val="24"/>
        </w:rPr>
        <w:t xml:space="preserve"> lose the benefits of the grand compromise. After setting out the bar, Minn. Stat. 176.031 continues: </w:t>
      </w:r>
    </w:p>
    <w:p w:rsidR="00BF7A5B" w:rsidRDefault="00BF7A5B" w:rsidP="00BF7A5B">
      <w:pPr>
        <w:spacing w:after="0" w:line="240" w:lineRule="auto"/>
        <w:ind w:left="720"/>
        <w:rPr>
          <w:rFonts w:ascii="Times New Roman" w:eastAsia="Times New Roman" w:hAnsi="Times New Roman" w:cs="Times New Roman"/>
          <w:color w:val="000000" w:themeColor="text1"/>
          <w:sz w:val="24"/>
          <w:szCs w:val="24"/>
        </w:rPr>
      </w:pPr>
    </w:p>
    <w:p w:rsidR="007C1C6B" w:rsidRPr="007C302D" w:rsidRDefault="007C1C6B" w:rsidP="00AA5AFD">
      <w:pPr>
        <w:spacing w:after="0" w:line="240" w:lineRule="auto"/>
        <w:ind w:left="1440"/>
        <w:rPr>
          <w:rFonts w:ascii="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t>“</w:t>
      </w:r>
      <w:r w:rsidRPr="007C302D">
        <w:rPr>
          <w:rFonts w:ascii="Times New Roman" w:hAnsi="Times New Roman" w:cs="Times New Roman"/>
          <w:color w:val="000000" w:themeColor="text1"/>
          <w:sz w:val="24"/>
          <w:szCs w:val="24"/>
        </w:rPr>
        <w:t>If an employer other than the state or any municipal subdivision thereof fails to insure or self-insure liability for compensation to injured employees and their dependents, an injured employee, or legal representatives or, if death results from the injury, any dependent may elect to claim compensation under this chapter or to maintain an action in the courts for damages on account of such injury or death. In such action it is not necessary to plead or prove freedom from contributory negligence. The defendant may not plead as a defense that the injury was caused by the negligence of a fellow servant, that the employee assumed the risk of employment, or that the injury was due to the contributory negligence of the employee, unless it appears that such negligence was willful on the part of the employee. The burden of proof to establish such willful negligence is upon the defendant.”</w:t>
      </w:r>
    </w:p>
    <w:p w:rsidR="00AA5AFD" w:rsidRDefault="00AA5AFD" w:rsidP="00AA5AFD">
      <w:pPr>
        <w:spacing w:after="0" w:line="300" w:lineRule="atLeast"/>
        <w:rPr>
          <w:rFonts w:ascii="Times New Roman" w:hAnsi="Times New Roman" w:cs="Times New Roman"/>
          <w:color w:val="000000" w:themeColor="text1"/>
          <w:sz w:val="24"/>
          <w:szCs w:val="24"/>
        </w:rPr>
      </w:pPr>
    </w:p>
    <w:p w:rsidR="0013042E" w:rsidRDefault="0013042E" w:rsidP="00CB4FA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B3A8A" w:rsidRPr="007C302D">
        <w:rPr>
          <w:rFonts w:ascii="Times New Roman" w:hAnsi="Times New Roman" w:cs="Times New Roman"/>
          <w:color w:val="000000" w:themeColor="text1"/>
          <w:sz w:val="24"/>
          <w:szCs w:val="24"/>
        </w:rPr>
        <w:t xml:space="preserve">There is not much modern case law construing 176.031’s cause of action against </w:t>
      </w:r>
      <w:r>
        <w:rPr>
          <w:rFonts w:ascii="Times New Roman" w:hAnsi="Times New Roman" w:cs="Times New Roman"/>
          <w:color w:val="000000" w:themeColor="text1"/>
          <w:sz w:val="24"/>
          <w:szCs w:val="24"/>
        </w:rPr>
        <w:tab/>
      </w:r>
      <w:r w:rsidR="009B3A8A" w:rsidRPr="007C302D">
        <w:rPr>
          <w:rFonts w:ascii="Times New Roman" w:hAnsi="Times New Roman" w:cs="Times New Roman"/>
          <w:color w:val="000000" w:themeColor="text1"/>
          <w:sz w:val="24"/>
          <w:szCs w:val="24"/>
        </w:rPr>
        <w:t xml:space="preserve">uninsured employers, probably because the economic incentives are not present. </w:t>
      </w:r>
      <w:r w:rsidR="00D561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p>
    <w:p w:rsidR="0013042E" w:rsidRDefault="0013042E" w:rsidP="00CB4FAF">
      <w:pPr>
        <w:spacing w:after="0" w:line="240" w:lineRule="auto"/>
        <w:rPr>
          <w:rFonts w:ascii="Times New Roman" w:hAnsi="Times New Roman" w:cs="Times New Roman"/>
          <w:color w:val="000000" w:themeColor="text1"/>
          <w:sz w:val="24"/>
          <w:szCs w:val="24"/>
        </w:rPr>
      </w:pPr>
    </w:p>
    <w:p w:rsidR="00531EE7" w:rsidRDefault="009B3A8A" w:rsidP="0013042E">
      <w:pPr>
        <w:spacing w:after="0" w:line="240" w:lineRule="auto"/>
        <w:ind w:left="720"/>
        <w:rPr>
          <w:rFonts w:ascii="Times New Roman" w:hAnsi="Times New Roman" w:cs="Times New Roman"/>
          <w:color w:val="000000" w:themeColor="text1"/>
          <w:sz w:val="24"/>
          <w:szCs w:val="24"/>
        </w:rPr>
      </w:pPr>
      <w:r w:rsidRPr="007C302D">
        <w:rPr>
          <w:rFonts w:ascii="Times New Roman" w:hAnsi="Times New Roman" w:cs="Times New Roman"/>
          <w:color w:val="000000" w:themeColor="text1"/>
          <w:sz w:val="24"/>
          <w:szCs w:val="24"/>
        </w:rPr>
        <w:t>Typically, an employer without workers’ compensation coverage has no significant assets</w:t>
      </w:r>
      <w:r w:rsidR="0013042E">
        <w:rPr>
          <w:rFonts w:ascii="Times New Roman" w:hAnsi="Times New Roman" w:cs="Times New Roman"/>
          <w:color w:val="000000" w:themeColor="text1"/>
          <w:sz w:val="24"/>
          <w:szCs w:val="24"/>
        </w:rPr>
        <w:t xml:space="preserve"> </w:t>
      </w:r>
      <w:r w:rsidRPr="007C302D">
        <w:rPr>
          <w:rFonts w:ascii="Times New Roman" w:hAnsi="Times New Roman" w:cs="Times New Roman"/>
          <w:color w:val="000000" w:themeColor="text1"/>
          <w:sz w:val="24"/>
          <w:szCs w:val="24"/>
        </w:rPr>
        <w:t xml:space="preserve">and any liability coverage it has will have an exclusion for injuries sustained by employees. </w:t>
      </w:r>
      <w:r w:rsidR="00D561FB">
        <w:rPr>
          <w:rFonts w:ascii="Times New Roman" w:hAnsi="Times New Roman" w:cs="Times New Roman"/>
          <w:color w:val="000000" w:themeColor="text1"/>
          <w:sz w:val="24"/>
          <w:szCs w:val="24"/>
        </w:rPr>
        <w:t xml:space="preserve"> </w:t>
      </w:r>
      <w:r w:rsidR="00531EE7" w:rsidRPr="007C302D">
        <w:rPr>
          <w:rFonts w:ascii="Times New Roman" w:hAnsi="Times New Roman" w:cs="Times New Roman"/>
          <w:color w:val="000000" w:themeColor="text1"/>
          <w:sz w:val="24"/>
          <w:szCs w:val="24"/>
        </w:rPr>
        <w:t xml:space="preserve">Also, the plaintiff still has to prove the fault of the employer. Presumably the employee would be entitled to additional common law damages, but while contributory negligence is not a bar, presumably comparative negligence principles would apply. </w:t>
      </w:r>
      <w:r w:rsidR="009542A8" w:rsidRPr="007C302D">
        <w:rPr>
          <w:rFonts w:ascii="Times New Roman" w:hAnsi="Times New Roman" w:cs="Times New Roman"/>
          <w:color w:val="000000" w:themeColor="text1"/>
          <w:sz w:val="24"/>
          <w:szCs w:val="24"/>
        </w:rPr>
        <w:t xml:space="preserve">See generally, </w:t>
      </w:r>
      <w:r w:rsidR="00531EE7" w:rsidRPr="007C302D">
        <w:rPr>
          <w:rFonts w:ascii="Times New Roman" w:hAnsi="Times New Roman" w:cs="Times New Roman"/>
          <w:color w:val="000000" w:themeColor="text1"/>
          <w:sz w:val="24"/>
          <w:szCs w:val="24"/>
          <w:u w:val="single"/>
        </w:rPr>
        <w:t>Anderson v. Hegna</w:t>
      </w:r>
      <w:r w:rsidR="00531EE7" w:rsidRPr="007C302D">
        <w:rPr>
          <w:rFonts w:ascii="Times New Roman" w:hAnsi="Times New Roman" w:cs="Times New Roman"/>
          <w:color w:val="000000" w:themeColor="text1"/>
          <w:sz w:val="24"/>
          <w:szCs w:val="24"/>
        </w:rPr>
        <w:t xml:space="preserve">, 212 Minn.147, 2. N.W.2d 820 (1942); </w:t>
      </w:r>
      <w:r w:rsidR="009542A8" w:rsidRPr="007C302D">
        <w:rPr>
          <w:rFonts w:ascii="Times New Roman" w:hAnsi="Times New Roman" w:cs="Times New Roman"/>
          <w:color w:val="000000" w:themeColor="text1"/>
          <w:sz w:val="24"/>
          <w:szCs w:val="24"/>
          <w:u w:val="single"/>
        </w:rPr>
        <w:t xml:space="preserve"> Andrews v. Bartholomew</w:t>
      </w:r>
      <w:r w:rsidR="009542A8" w:rsidRPr="007C302D">
        <w:rPr>
          <w:rFonts w:ascii="Times New Roman" w:hAnsi="Times New Roman" w:cs="Times New Roman"/>
          <w:color w:val="000000" w:themeColor="text1"/>
          <w:sz w:val="24"/>
          <w:szCs w:val="24"/>
        </w:rPr>
        <w:t xml:space="preserve">, 242 Minn. 46, 64 N.W.2d 7 (1954) and </w:t>
      </w:r>
      <w:r w:rsidR="009542A8" w:rsidRPr="007C302D">
        <w:rPr>
          <w:rFonts w:ascii="Times New Roman" w:hAnsi="Times New Roman" w:cs="Times New Roman"/>
          <w:color w:val="000000" w:themeColor="text1"/>
          <w:sz w:val="24"/>
          <w:szCs w:val="24"/>
          <w:u w:val="single"/>
        </w:rPr>
        <w:t>Klemetsen v. Stenberg Const. Co., Inc.</w:t>
      </w:r>
      <w:r w:rsidR="009542A8" w:rsidRPr="007C302D">
        <w:rPr>
          <w:rFonts w:ascii="Times New Roman" w:hAnsi="Times New Roman" w:cs="Times New Roman"/>
          <w:color w:val="000000" w:themeColor="text1"/>
          <w:sz w:val="24"/>
          <w:szCs w:val="24"/>
        </w:rPr>
        <w:t xml:space="preserve"> 424 N.W.2d 70 (Minn. 1988). </w:t>
      </w:r>
    </w:p>
    <w:p w:rsidR="00CB4FAF" w:rsidRPr="007C302D" w:rsidRDefault="00CB4FAF" w:rsidP="00AA5AFD">
      <w:pPr>
        <w:spacing w:after="0" w:line="300" w:lineRule="atLeast"/>
        <w:rPr>
          <w:rFonts w:ascii="Times New Roman" w:hAnsi="Times New Roman" w:cs="Times New Roman"/>
          <w:color w:val="000000" w:themeColor="text1"/>
          <w:sz w:val="24"/>
          <w:szCs w:val="24"/>
        </w:rPr>
      </w:pPr>
    </w:p>
    <w:p w:rsidR="00531EE7" w:rsidRPr="00CB4FAF" w:rsidRDefault="00CB4FAF" w:rsidP="00CB4FA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B3A8A" w:rsidRPr="00CB4FAF">
        <w:rPr>
          <w:rFonts w:ascii="Times New Roman" w:hAnsi="Times New Roman" w:cs="Times New Roman"/>
          <w:color w:val="000000" w:themeColor="text1"/>
          <w:sz w:val="24"/>
          <w:szCs w:val="24"/>
        </w:rPr>
        <w:t xml:space="preserve">Rather, most employees end up making a claim against the employer and the Special </w:t>
      </w:r>
      <w:r w:rsidR="0013042E">
        <w:rPr>
          <w:rFonts w:ascii="Times New Roman" w:hAnsi="Times New Roman" w:cs="Times New Roman"/>
          <w:color w:val="000000" w:themeColor="text1"/>
          <w:sz w:val="24"/>
          <w:szCs w:val="24"/>
        </w:rPr>
        <w:tab/>
      </w:r>
      <w:r w:rsidR="009B3A8A" w:rsidRPr="00CB4FAF">
        <w:rPr>
          <w:rFonts w:ascii="Times New Roman" w:hAnsi="Times New Roman" w:cs="Times New Roman"/>
          <w:color w:val="000000" w:themeColor="text1"/>
          <w:sz w:val="24"/>
          <w:szCs w:val="24"/>
        </w:rPr>
        <w:t xml:space="preserve">Compensation Fund (a branch of the Department of Labor and Industry </w:t>
      </w:r>
      <w:r w:rsidR="00531EE7" w:rsidRPr="00CB4FAF">
        <w:rPr>
          <w:rFonts w:ascii="Times New Roman" w:hAnsi="Times New Roman" w:cs="Times New Roman"/>
          <w:color w:val="000000" w:themeColor="text1"/>
          <w:sz w:val="24"/>
          <w:szCs w:val="24"/>
        </w:rPr>
        <w:t xml:space="preserve">that provides </w:t>
      </w:r>
      <w:r w:rsidR="0013042E">
        <w:rPr>
          <w:rFonts w:ascii="Times New Roman" w:hAnsi="Times New Roman" w:cs="Times New Roman"/>
          <w:color w:val="000000" w:themeColor="text1"/>
          <w:sz w:val="24"/>
          <w:szCs w:val="24"/>
        </w:rPr>
        <w:tab/>
      </w:r>
      <w:r w:rsidR="00531EE7" w:rsidRPr="00CB4FAF">
        <w:rPr>
          <w:rFonts w:ascii="Times New Roman" w:hAnsi="Times New Roman" w:cs="Times New Roman"/>
          <w:color w:val="000000" w:themeColor="text1"/>
          <w:sz w:val="24"/>
          <w:szCs w:val="24"/>
        </w:rPr>
        <w:t xml:space="preserve">workers’ compensation coverage for uninsured employers). See MSA 176.183. The </w:t>
      </w:r>
      <w:r w:rsidR="0013042E">
        <w:rPr>
          <w:rFonts w:ascii="Times New Roman" w:hAnsi="Times New Roman" w:cs="Times New Roman"/>
          <w:color w:val="000000" w:themeColor="text1"/>
          <w:sz w:val="24"/>
          <w:szCs w:val="24"/>
        </w:rPr>
        <w:tab/>
      </w:r>
      <w:r w:rsidR="00531EE7" w:rsidRPr="00CB4FAF">
        <w:rPr>
          <w:rFonts w:ascii="Times New Roman" w:hAnsi="Times New Roman" w:cs="Times New Roman"/>
          <w:color w:val="000000" w:themeColor="text1"/>
          <w:sz w:val="24"/>
          <w:szCs w:val="24"/>
        </w:rPr>
        <w:t xml:space="preserve">Special Compensation Fund is entitled to collect all benefits paid to the employee plus a </w:t>
      </w:r>
      <w:r w:rsidR="0013042E">
        <w:rPr>
          <w:rFonts w:ascii="Times New Roman" w:hAnsi="Times New Roman" w:cs="Times New Roman"/>
          <w:color w:val="000000" w:themeColor="text1"/>
          <w:sz w:val="24"/>
          <w:szCs w:val="24"/>
        </w:rPr>
        <w:tab/>
      </w:r>
      <w:r w:rsidR="00531EE7" w:rsidRPr="00CB4FAF">
        <w:rPr>
          <w:rFonts w:ascii="Times New Roman" w:hAnsi="Times New Roman" w:cs="Times New Roman"/>
          <w:color w:val="000000" w:themeColor="text1"/>
          <w:sz w:val="24"/>
          <w:szCs w:val="24"/>
        </w:rPr>
        <w:t xml:space="preserve">65% penalty from the employer, using the procedures for collecting unpaid taxes. </w:t>
      </w:r>
      <w:r w:rsidR="009542A8" w:rsidRPr="00CB4FAF">
        <w:rPr>
          <w:rFonts w:ascii="Times New Roman" w:hAnsi="Times New Roman" w:cs="Times New Roman"/>
          <w:color w:val="000000" w:themeColor="text1"/>
          <w:sz w:val="24"/>
          <w:szCs w:val="24"/>
        </w:rPr>
        <w:t xml:space="preserve">It is </w:t>
      </w:r>
      <w:r w:rsidR="0013042E">
        <w:rPr>
          <w:rFonts w:ascii="Times New Roman" w:hAnsi="Times New Roman" w:cs="Times New Roman"/>
          <w:color w:val="000000" w:themeColor="text1"/>
          <w:sz w:val="24"/>
          <w:szCs w:val="24"/>
        </w:rPr>
        <w:tab/>
      </w:r>
      <w:r w:rsidR="009542A8" w:rsidRPr="00CB4FAF">
        <w:rPr>
          <w:rFonts w:ascii="Times New Roman" w:hAnsi="Times New Roman" w:cs="Times New Roman"/>
          <w:color w:val="000000" w:themeColor="text1"/>
          <w:sz w:val="24"/>
          <w:szCs w:val="24"/>
        </w:rPr>
        <w:t>best to be insured.</w:t>
      </w:r>
    </w:p>
    <w:p w:rsidR="007C1C6B" w:rsidRPr="007C302D" w:rsidRDefault="007C1C6B" w:rsidP="00CB4FAF">
      <w:pPr>
        <w:spacing w:after="0" w:line="300" w:lineRule="atLeast"/>
        <w:rPr>
          <w:rFonts w:ascii="Times New Roman" w:eastAsia="Times New Roman" w:hAnsi="Times New Roman" w:cs="Times New Roman"/>
          <w:color w:val="000000" w:themeColor="text1"/>
          <w:sz w:val="24"/>
          <w:szCs w:val="24"/>
        </w:rPr>
      </w:pPr>
      <w:r w:rsidRPr="00CB4FAF">
        <w:rPr>
          <w:rFonts w:ascii="Times New Roman" w:hAnsi="Times New Roman" w:cs="Times New Roman"/>
          <w:color w:val="000000" w:themeColor="text1"/>
          <w:sz w:val="24"/>
          <w:szCs w:val="24"/>
        </w:rPr>
        <w:tab/>
      </w:r>
    </w:p>
    <w:p w:rsidR="007B335B" w:rsidRPr="00475328" w:rsidRDefault="007B335B" w:rsidP="0013042E">
      <w:pPr>
        <w:pStyle w:val="ListParagraph"/>
        <w:numPr>
          <w:ilvl w:val="0"/>
          <w:numId w:val="8"/>
        </w:numPr>
        <w:spacing w:after="120" w:line="300" w:lineRule="atLeast"/>
        <w:ind w:left="1440" w:hanging="720"/>
        <w:rPr>
          <w:rFonts w:ascii="Times New Roman" w:eastAsia="Times New Roman" w:hAnsi="Times New Roman" w:cs="Times New Roman"/>
          <w:color w:val="000000" w:themeColor="text1"/>
          <w:sz w:val="24"/>
          <w:szCs w:val="24"/>
        </w:rPr>
      </w:pPr>
      <w:r w:rsidRPr="00475328">
        <w:rPr>
          <w:rFonts w:ascii="Times New Roman" w:eastAsia="Times New Roman" w:hAnsi="Times New Roman" w:cs="Times New Roman"/>
          <w:color w:val="000000" w:themeColor="text1"/>
          <w:sz w:val="24"/>
          <w:szCs w:val="24"/>
        </w:rPr>
        <w:t xml:space="preserve">Employers and </w:t>
      </w:r>
      <w:r w:rsidR="002838D9" w:rsidRPr="00475328">
        <w:rPr>
          <w:rFonts w:ascii="Times New Roman" w:eastAsia="Times New Roman" w:hAnsi="Times New Roman" w:cs="Times New Roman"/>
          <w:color w:val="000000" w:themeColor="text1"/>
          <w:sz w:val="24"/>
          <w:szCs w:val="24"/>
        </w:rPr>
        <w:t>C</w:t>
      </w:r>
      <w:r w:rsidRPr="00475328">
        <w:rPr>
          <w:rFonts w:ascii="Times New Roman" w:eastAsia="Times New Roman" w:hAnsi="Times New Roman" w:cs="Times New Roman"/>
          <w:color w:val="000000" w:themeColor="text1"/>
          <w:sz w:val="24"/>
          <w:szCs w:val="24"/>
        </w:rPr>
        <w:t>o-</w:t>
      </w:r>
      <w:r w:rsidR="002838D9" w:rsidRPr="00475328">
        <w:rPr>
          <w:rFonts w:ascii="Times New Roman" w:eastAsia="Times New Roman" w:hAnsi="Times New Roman" w:cs="Times New Roman"/>
          <w:color w:val="000000" w:themeColor="text1"/>
          <w:sz w:val="24"/>
          <w:szCs w:val="24"/>
        </w:rPr>
        <w:t>E</w:t>
      </w:r>
      <w:r w:rsidRPr="00475328">
        <w:rPr>
          <w:rFonts w:ascii="Times New Roman" w:eastAsia="Times New Roman" w:hAnsi="Times New Roman" w:cs="Times New Roman"/>
          <w:color w:val="000000" w:themeColor="text1"/>
          <w:sz w:val="24"/>
          <w:szCs w:val="24"/>
        </w:rPr>
        <w:t xml:space="preserve">mployees </w:t>
      </w:r>
      <w:r w:rsidR="000D49A5" w:rsidRPr="00475328">
        <w:rPr>
          <w:rFonts w:ascii="Times New Roman" w:eastAsia="Times New Roman" w:hAnsi="Times New Roman" w:cs="Times New Roman"/>
          <w:color w:val="000000" w:themeColor="text1"/>
          <w:sz w:val="24"/>
          <w:szCs w:val="24"/>
        </w:rPr>
        <w:t>W</w:t>
      </w:r>
      <w:r w:rsidRPr="00475328">
        <w:rPr>
          <w:rFonts w:ascii="Times New Roman" w:eastAsia="Times New Roman" w:hAnsi="Times New Roman" w:cs="Times New Roman"/>
          <w:color w:val="000000" w:themeColor="text1"/>
          <w:sz w:val="24"/>
          <w:szCs w:val="24"/>
        </w:rPr>
        <w:t xml:space="preserve">ho </w:t>
      </w:r>
      <w:r w:rsidR="002838D9" w:rsidRPr="00475328">
        <w:rPr>
          <w:rFonts w:ascii="Times New Roman" w:eastAsia="Times New Roman" w:hAnsi="Times New Roman" w:cs="Times New Roman"/>
          <w:color w:val="000000" w:themeColor="text1"/>
          <w:sz w:val="24"/>
          <w:szCs w:val="24"/>
        </w:rPr>
        <w:t>C</w:t>
      </w:r>
      <w:r w:rsidRPr="00475328">
        <w:rPr>
          <w:rFonts w:ascii="Times New Roman" w:eastAsia="Times New Roman" w:hAnsi="Times New Roman" w:cs="Times New Roman"/>
          <w:color w:val="000000" w:themeColor="text1"/>
          <w:sz w:val="24"/>
          <w:szCs w:val="24"/>
        </w:rPr>
        <w:t xml:space="preserve">ommit </w:t>
      </w:r>
      <w:r w:rsidR="002838D9" w:rsidRPr="00475328">
        <w:rPr>
          <w:rFonts w:ascii="Times New Roman" w:eastAsia="Times New Roman" w:hAnsi="Times New Roman" w:cs="Times New Roman"/>
          <w:color w:val="000000" w:themeColor="text1"/>
          <w:sz w:val="24"/>
          <w:szCs w:val="24"/>
        </w:rPr>
        <w:t>I</w:t>
      </w:r>
      <w:r w:rsidRPr="00475328">
        <w:rPr>
          <w:rFonts w:ascii="Times New Roman" w:eastAsia="Times New Roman" w:hAnsi="Times New Roman" w:cs="Times New Roman"/>
          <w:color w:val="000000" w:themeColor="text1"/>
          <w:sz w:val="24"/>
          <w:szCs w:val="24"/>
        </w:rPr>
        <w:t xml:space="preserve">ntentional </w:t>
      </w:r>
      <w:r w:rsidR="002838D9" w:rsidRPr="00475328">
        <w:rPr>
          <w:rFonts w:ascii="Times New Roman" w:eastAsia="Times New Roman" w:hAnsi="Times New Roman" w:cs="Times New Roman"/>
          <w:color w:val="000000" w:themeColor="text1"/>
          <w:sz w:val="24"/>
          <w:szCs w:val="24"/>
        </w:rPr>
        <w:t>T</w:t>
      </w:r>
      <w:r w:rsidRPr="00475328">
        <w:rPr>
          <w:rFonts w:ascii="Times New Roman" w:eastAsia="Times New Roman" w:hAnsi="Times New Roman" w:cs="Times New Roman"/>
          <w:color w:val="000000" w:themeColor="text1"/>
          <w:sz w:val="24"/>
          <w:szCs w:val="24"/>
        </w:rPr>
        <w:t>orts.</w:t>
      </w:r>
    </w:p>
    <w:p w:rsidR="00126753" w:rsidRPr="007C302D" w:rsidRDefault="00126753" w:rsidP="00410D86">
      <w:pPr>
        <w:pStyle w:val="ListParagraph"/>
        <w:spacing w:after="0" w:line="300" w:lineRule="atLeast"/>
        <w:ind w:left="840"/>
        <w:rPr>
          <w:rFonts w:ascii="Times New Roman" w:eastAsia="Times New Roman" w:hAnsi="Times New Roman" w:cs="Times New Roman"/>
          <w:color w:val="000000" w:themeColor="text1"/>
          <w:sz w:val="24"/>
          <w:szCs w:val="24"/>
        </w:rPr>
      </w:pPr>
    </w:p>
    <w:p w:rsidR="00844FE3" w:rsidRPr="0013042E" w:rsidRDefault="00844FE3" w:rsidP="0013042E">
      <w:pPr>
        <w:pStyle w:val="ListParagraph"/>
        <w:numPr>
          <w:ilvl w:val="0"/>
          <w:numId w:val="9"/>
        </w:numPr>
        <w:spacing w:after="0" w:line="240" w:lineRule="auto"/>
        <w:ind w:left="2160" w:hanging="720"/>
        <w:rPr>
          <w:rFonts w:ascii="Times New Roman" w:eastAsia="Times New Roman" w:hAnsi="Times New Roman" w:cs="Times New Roman"/>
          <w:color w:val="000000" w:themeColor="text1"/>
          <w:sz w:val="24"/>
          <w:szCs w:val="24"/>
        </w:rPr>
      </w:pPr>
      <w:r w:rsidRPr="0013042E">
        <w:rPr>
          <w:rFonts w:ascii="Times New Roman" w:eastAsia="Times New Roman" w:hAnsi="Times New Roman" w:cs="Times New Roman"/>
          <w:color w:val="000000" w:themeColor="text1"/>
          <w:sz w:val="24"/>
          <w:szCs w:val="24"/>
        </w:rPr>
        <w:t xml:space="preserve">The </w:t>
      </w:r>
      <w:r w:rsidR="00ED0F76" w:rsidRPr="0013042E">
        <w:rPr>
          <w:rFonts w:ascii="Times New Roman" w:eastAsia="Times New Roman" w:hAnsi="Times New Roman" w:cs="Times New Roman"/>
          <w:color w:val="000000" w:themeColor="text1"/>
          <w:sz w:val="24"/>
          <w:szCs w:val="24"/>
        </w:rPr>
        <w:t>Assault</w:t>
      </w:r>
      <w:r w:rsidRPr="0013042E">
        <w:rPr>
          <w:rFonts w:ascii="Times New Roman" w:eastAsia="Times New Roman" w:hAnsi="Times New Roman" w:cs="Times New Roman"/>
          <w:color w:val="000000" w:themeColor="text1"/>
          <w:sz w:val="24"/>
          <w:szCs w:val="24"/>
        </w:rPr>
        <w:t xml:space="preserve"> Exception.</w:t>
      </w:r>
    </w:p>
    <w:p w:rsidR="001A5196" w:rsidRDefault="001A5196" w:rsidP="001A5196">
      <w:pPr>
        <w:spacing w:after="0" w:line="240" w:lineRule="auto"/>
        <w:rPr>
          <w:rFonts w:ascii="Times New Roman" w:eastAsia="Times New Roman" w:hAnsi="Times New Roman" w:cs="Times New Roman"/>
          <w:color w:val="000000" w:themeColor="text1"/>
          <w:sz w:val="24"/>
          <w:szCs w:val="24"/>
        </w:rPr>
      </w:pPr>
    </w:p>
    <w:p w:rsidR="00026C39" w:rsidRDefault="00844FE3" w:rsidP="00081262">
      <w:pPr>
        <w:spacing w:after="0" w:line="240" w:lineRule="auto"/>
        <w:ind w:left="1440"/>
        <w:rPr>
          <w:rFonts w:ascii="Times New Roman" w:eastAsia="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t>Minn. Stat. Sec. 176.011, subd. 16 contains an exception for cases of certain intentional injuries by excluding them from the definition of personal injury:</w:t>
      </w:r>
    </w:p>
    <w:p w:rsidR="001A5196" w:rsidRDefault="001A5196" w:rsidP="001A5196">
      <w:pPr>
        <w:spacing w:after="0" w:line="240" w:lineRule="auto"/>
        <w:ind w:left="480" w:firstLine="285"/>
        <w:rPr>
          <w:rFonts w:ascii="Times New Roman" w:eastAsia="Times New Roman" w:hAnsi="Times New Roman" w:cs="Times New Roman"/>
          <w:color w:val="000000" w:themeColor="text1"/>
          <w:sz w:val="24"/>
          <w:szCs w:val="24"/>
        </w:rPr>
      </w:pPr>
    </w:p>
    <w:p w:rsidR="00410D86" w:rsidRDefault="00026C39" w:rsidP="00081262">
      <w:pPr>
        <w:spacing w:after="0" w:line="240" w:lineRule="auto"/>
        <w:ind w:left="2160" w:right="720"/>
        <w:rPr>
          <w:rFonts w:ascii="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t>“</w:t>
      </w:r>
      <w:r w:rsidR="00844FE3" w:rsidRPr="007C302D">
        <w:rPr>
          <w:rFonts w:ascii="Times New Roman" w:hAnsi="Times New Roman" w:cs="Times New Roman"/>
          <w:color w:val="000000" w:themeColor="text1"/>
          <w:sz w:val="24"/>
          <w:szCs w:val="24"/>
        </w:rPr>
        <w:t>Personal injury does not include an injury caused by the act of a third person or fellow employee intended to injure the employee because of personal reasons, and not directed against the employee as an employee,</w:t>
      </w:r>
      <w:r w:rsidR="00081262">
        <w:rPr>
          <w:rFonts w:ascii="Times New Roman" w:hAnsi="Times New Roman" w:cs="Times New Roman"/>
          <w:color w:val="000000" w:themeColor="text1"/>
          <w:sz w:val="24"/>
          <w:szCs w:val="24"/>
        </w:rPr>
        <w:t xml:space="preserve"> </w:t>
      </w:r>
      <w:r w:rsidR="00844FE3" w:rsidRPr="007C302D">
        <w:rPr>
          <w:rFonts w:ascii="Times New Roman" w:hAnsi="Times New Roman" w:cs="Times New Roman"/>
          <w:color w:val="000000" w:themeColor="text1"/>
          <w:sz w:val="24"/>
          <w:szCs w:val="24"/>
        </w:rPr>
        <w:t>or because of the employment.</w:t>
      </w:r>
      <w:r w:rsidRPr="007C302D">
        <w:rPr>
          <w:rFonts w:ascii="Times New Roman" w:hAnsi="Times New Roman" w:cs="Times New Roman"/>
          <w:color w:val="000000" w:themeColor="text1"/>
          <w:sz w:val="24"/>
          <w:szCs w:val="24"/>
        </w:rPr>
        <w:t xml:space="preserve">” </w:t>
      </w:r>
    </w:p>
    <w:p w:rsidR="001A5196" w:rsidRDefault="001A5196" w:rsidP="0013042E">
      <w:pPr>
        <w:tabs>
          <w:tab w:val="left" w:pos="8550"/>
          <w:tab w:val="left" w:pos="8640"/>
        </w:tabs>
        <w:spacing w:after="0" w:line="240" w:lineRule="auto"/>
        <w:ind w:left="1440"/>
        <w:rPr>
          <w:rFonts w:ascii="Times New Roman" w:hAnsi="Times New Roman" w:cs="Times New Roman"/>
          <w:color w:val="000000" w:themeColor="text1"/>
          <w:sz w:val="24"/>
          <w:szCs w:val="24"/>
        </w:rPr>
      </w:pPr>
    </w:p>
    <w:p w:rsidR="00F23A49" w:rsidRPr="007C302D" w:rsidRDefault="00026C39" w:rsidP="00081262">
      <w:pPr>
        <w:spacing w:after="0" w:line="240" w:lineRule="auto"/>
        <w:ind w:left="1440"/>
        <w:rPr>
          <w:rFonts w:ascii="Times New Roman" w:eastAsia="Times New Roman" w:hAnsi="Times New Roman" w:cs="Times New Roman"/>
          <w:color w:val="000000" w:themeColor="text1"/>
          <w:sz w:val="24"/>
          <w:szCs w:val="24"/>
        </w:rPr>
      </w:pPr>
      <w:r w:rsidRPr="007C302D">
        <w:rPr>
          <w:rFonts w:ascii="Times New Roman" w:hAnsi="Times New Roman" w:cs="Times New Roman"/>
          <w:color w:val="000000" w:themeColor="text1"/>
          <w:sz w:val="24"/>
          <w:szCs w:val="24"/>
        </w:rPr>
        <w:t xml:space="preserve">This exception is known as the assault exception and “usually fall[s] into one of three categories: ‘ (1) those that are noncompensable under the Act because the </w:t>
      </w:r>
      <w:r w:rsidR="00410D86">
        <w:rPr>
          <w:rFonts w:ascii="Times New Roman" w:hAnsi="Times New Roman" w:cs="Times New Roman"/>
          <w:color w:val="000000" w:themeColor="text1"/>
          <w:sz w:val="24"/>
          <w:szCs w:val="24"/>
        </w:rPr>
        <w:t>a</w:t>
      </w:r>
      <w:r w:rsidRPr="007C302D">
        <w:rPr>
          <w:rFonts w:ascii="Times New Roman" w:hAnsi="Times New Roman" w:cs="Times New Roman"/>
          <w:color w:val="000000" w:themeColor="text1"/>
          <w:sz w:val="24"/>
          <w:szCs w:val="24"/>
        </w:rPr>
        <w:t xml:space="preserve">ssailant was motivated by personal animosity toward his victim, arising from circumstances wholly unconnected with the employment; (2) those that are compensable under the Act because the provocation or motivation for the assault arises solely out of the activity of the victim as an employee; and (3) those that are compensable under the Act because they are neither directed against the victim as an employee nor for reasons personal to the employee.’” </w:t>
      </w:r>
      <w:r w:rsidRPr="007C302D">
        <w:rPr>
          <w:rFonts w:ascii="Times New Roman" w:hAnsi="Times New Roman" w:cs="Times New Roman"/>
          <w:color w:val="000000" w:themeColor="text1"/>
          <w:sz w:val="24"/>
          <w:szCs w:val="24"/>
          <w:u w:val="single"/>
        </w:rPr>
        <w:t>Meintsma</w:t>
      </w:r>
      <w:r w:rsidRPr="007C302D">
        <w:rPr>
          <w:rFonts w:ascii="Times New Roman" w:hAnsi="Times New Roman" w:cs="Times New Roman"/>
          <w:color w:val="000000" w:themeColor="text1"/>
          <w:sz w:val="24"/>
          <w:szCs w:val="24"/>
        </w:rPr>
        <w:t xml:space="preserve">, 684 N.W.2d at 439, quoting </w:t>
      </w:r>
      <w:r w:rsidRPr="007C302D">
        <w:rPr>
          <w:rFonts w:ascii="Times New Roman" w:hAnsi="Times New Roman" w:cs="Times New Roman"/>
          <w:color w:val="000000" w:themeColor="text1"/>
          <w:sz w:val="24"/>
          <w:szCs w:val="24"/>
          <w:u w:val="single"/>
        </w:rPr>
        <w:t>McGowan v. Our Savior’s Lutheran Church</w:t>
      </w:r>
      <w:r w:rsidRPr="007C302D">
        <w:rPr>
          <w:rFonts w:ascii="Times New Roman" w:hAnsi="Times New Roman" w:cs="Times New Roman"/>
          <w:color w:val="000000" w:themeColor="text1"/>
          <w:sz w:val="24"/>
          <w:szCs w:val="24"/>
        </w:rPr>
        <w:t xml:space="preserve">, 527 N.W.2d 830,834 (Minn. 1985). See </w:t>
      </w:r>
      <w:r w:rsidRPr="007C302D">
        <w:rPr>
          <w:rFonts w:ascii="Times New Roman" w:hAnsi="Times New Roman" w:cs="Times New Roman"/>
          <w:color w:val="000000" w:themeColor="text1"/>
          <w:sz w:val="24"/>
          <w:szCs w:val="24"/>
          <w:u w:val="single"/>
        </w:rPr>
        <w:t>Foley v. Honeywell, Inc.</w:t>
      </w:r>
      <w:r w:rsidRPr="007C302D">
        <w:rPr>
          <w:rFonts w:ascii="Times New Roman" w:hAnsi="Times New Roman" w:cs="Times New Roman"/>
          <w:color w:val="000000" w:themeColor="text1"/>
          <w:sz w:val="24"/>
          <w:szCs w:val="24"/>
        </w:rPr>
        <w:t xml:space="preserve">, 488 N.W. 2d 268 (Minn. 1992) and </w:t>
      </w:r>
      <w:r w:rsidRPr="007C302D">
        <w:rPr>
          <w:rFonts w:ascii="Times New Roman" w:hAnsi="Times New Roman" w:cs="Times New Roman"/>
          <w:color w:val="000000" w:themeColor="text1"/>
          <w:sz w:val="24"/>
          <w:szCs w:val="24"/>
          <w:u w:val="single"/>
        </w:rPr>
        <w:t>Bear v. Honeywell, Inc.</w:t>
      </w:r>
      <w:r w:rsidRPr="007C302D">
        <w:rPr>
          <w:rFonts w:ascii="Times New Roman" w:hAnsi="Times New Roman" w:cs="Times New Roman"/>
          <w:color w:val="000000" w:themeColor="text1"/>
          <w:sz w:val="24"/>
          <w:szCs w:val="24"/>
        </w:rPr>
        <w:t>, 468 N.W.2d 546 (Minn. 1991)</w:t>
      </w:r>
      <w:r w:rsidR="00126753" w:rsidRPr="007C302D">
        <w:rPr>
          <w:rFonts w:ascii="Times New Roman" w:hAnsi="Times New Roman" w:cs="Times New Roman"/>
          <w:color w:val="000000" w:themeColor="text1"/>
          <w:sz w:val="24"/>
          <w:szCs w:val="24"/>
        </w:rPr>
        <w:t>.</w:t>
      </w:r>
      <w:r w:rsidR="00F23A49" w:rsidRPr="007C302D">
        <w:rPr>
          <w:rFonts w:ascii="Times New Roman" w:eastAsia="Times New Roman" w:hAnsi="Times New Roman" w:cs="Times New Roman"/>
          <w:color w:val="000000" w:themeColor="text1"/>
          <w:sz w:val="24"/>
          <w:szCs w:val="24"/>
        </w:rPr>
        <w:t xml:space="preserve"> </w:t>
      </w:r>
    </w:p>
    <w:p w:rsidR="002956D7" w:rsidRDefault="002956D7" w:rsidP="002956D7">
      <w:pPr>
        <w:spacing w:after="0" w:line="240" w:lineRule="auto"/>
        <w:ind w:left="1440"/>
        <w:rPr>
          <w:rFonts w:ascii="Times New Roman" w:eastAsia="Times New Roman" w:hAnsi="Times New Roman" w:cs="Times New Roman"/>
          <w:color w:val="000000" w:themeColor="text1"/>
          <w:sz w:val="24"/>
          <w:szCs w:val="24"/>
        </w:rPr>
      </w:pPr>
    </w:p>
    <w:p w:rsidR="00F23A49" w:rsidRPr="007C302D" w:rsidRDefault="00F23A49" w:rsidP="00081262">
      <w:pPr>
        <w:spacing w:after="0" w:line="240" w:lineRule="auto"/>
        <w:ind w:left="1440"/>
        <w:rPr>
          <w:rFonts w:ascii="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t xml:space="preserve">In situations involving sexual assault or harassment, the Court of Appeals has ruled that there is at least a fact issue regarding the personal animosity issue. See </w:t>
      </w:r>
      <w:hyperlink r:id="rId8" w:anchor="co_pp_sp_595_386" w:history="1">
        <w:r w:rsidRPr="00055BEE">
          <w:rPr>
            <w:rStyle w:val="Emphasis"/>
            <w:rFonts w:ascii="Times New Roman" w:hAnsi="Times New Roman" w:cs="Times New Roman"/>
            <w:bCs/>
            <w:color w:val="000000" w:themeColor="text1"/>
            <w:sz w:val="24"/>
            <w:szCs w:val="24"/>
          </w:rPr>
          <w:t>Stengel v. E. Side Beverage,</w:t>
        </w:r>
        <w:r w:rsidRPr="00055BEE">
          <w:rPr>
            <w:rStyle w:val="cosearchterm1"/>
            <w:rFonts w:ascii="Times New Roman" w:hAnsi="Times New Roman" w:cs="Times New Roman"/>
            <w:color w:val="000000" w:themeColor="text1"/>
            <w:sz w:val="24"/>
            <w:szCs w:val="24"/>
          </w:rPr>
          <w:t xml:space="preserve"> </w:t>
        </w:r>
        <w:r w:rsidRPr="00055BEE">
          <w:rPr>
            <w:rStyle w:val="cosearchterm1"/>
            <w:rFonts w:ascii="Times New Roman" w:hAnsi="Times New Roman" w:cs="Times New Roman"/>
            <w:b w:val="0"/>
            <w:color w:val="000000" w:themeColor="text1"/>
            <w:sz w:val="24"/>
            <w:szCs w:val="24"/>
          </w:rPr>
          <w:t>690 N.W.2d 380 (Minn.Ct.App.2004)</w:t>
        </w:r>
      </w:hyperlink>
      <w:r w:rsidRPr="007C302D">
        <w:rPr>
          <w:rFonts w:ascii="Times New Roman" w:hAnsi="Times New Roman" w:cs="Times New Roman"/>
          <w:color w:val="000000" w:themeColor="text1"/>
          <w:sz w:val="24"/>
          <w:szCs w:val="24"/>
        </w:rPr>
        <w:t xml:space="preserve">. </w:t>
      </w:r>
      <w:r w:rsidR="00B87833" w:rsidRPr="007C302D">
        <w:rPr>
          <w:rFonts w:ascii="Times New Roman" w:hAnsi="Times New Roman" w:cs="Times New Roman"/>
          <w:color w:val="000000" w:themeColor="text1"/>
          <w:sz w:val="24"/>
          <w:szCs w:val="24"/>
        </w:rPr>
        <w:t xml:space="preserve">Presumably, cases that do not actually involve personal injury are not covered by the workers compensation bar either. </w:t>
      </w:r>
      <w:r w:rsidR="00B87833" w:rsidRPr="007C302D">
        <w:rPr>
          <w:rStyle w:val="Emphasis"/>
          <w:rFonts w:ascii="Times New Roman" w:hAnsi="Times New Roman" w:cs="Times New Roman"/>
          <w:color w:val="000000" w:themeColor="text1"/>
          <w:sz w:val="24"/>
          <w:szCs w:val="24"/>
        </w:rPr>
        <w:t xml:space="preserve">See Kopet v. General Mills, Inc., </w:t>
      </w:r>
      <w:r w:rsidR="00B87833" w:rsidRPr="007C302D">
        <w:rPr>
          <w:rFonts w:ascii="Times New Roman" w:hAnsi="Times New Roman" w:cs="Times New Roman"/>
          <w:color w:val="000000" w:themeColor="text1"/>
          <w:sz w:val="24"/>
          <w:szCs w:val="24"/>
        </w:rPr>
        <w:t xml:space="preserve">2005 WL 1021651 n. (Minn. App. 2005)( citing </w:t>
      </w:r>
      <w:hyperlink r:id="rId9" w:anchor="co_pp_sp_595_604" w:history="1">
        <w:r w:rsidR="00B87833" w:rsidRPr="007C302D">
          <w:rPr>
            <w:rStyle w:val="Emphasis"/>
            <w:rFonts w:ascii="Times New Roman" w:hAnsi="Times New Roman" w:cs="Times New Roman"/>
            <w:color w:val="000000" w:themeColor="text1"/>
            <w:sz w:val="24"/>
            <w:szCs w:val="24"/>
          </w:rPr>
          <w:t>Egeland v. City of Minneapolis,</w:t>
        </w:r>
        <w:r w:rsidR="00B87833" w:rsidRPr="007C302D">
          <w:rPr>
            <w:rStyle w:val="Hyperlink"/>
            <w:rFonts w:ascii="Times New Roman" w:hAnsi="Times New Roman" w:cs="Times New Roman"/>
            <w:color w:val="000000" w:themeColor="text1"/>
            <w:sz w:val="24"/>
            <w:szCs w:val="24"/>
          </w:rPr>
          <w:t xml:space="preserve"> 344 N.W.2d 597, 604-05 (Minn.1984)</w:t>
        </w:r>
      </w:hyperlink>
      <w:r w:rsidR="00B87833" w:rsidRPr="007C302D">
        <w:rPr>
          <w:rFonts w:ascii="Times New Roman" w:hAnsi="Times New Roman" w:cs="Times New Roman"/>
          <w:color w:val="000000" w:themeColor="text1"/>
          <w:sz w:val="24"/>
          <w:szCs w:val="24"/>
        </w:rPr>
        <w:t xml:space="preserve"> and </w:t>
      </w:r>
      <w:hyperlink r:id="rId10" w:history="1">
        <w:r w:rsidR="00B87833" w:rsidRPr="007C302D">
          <w:rPr>
            <w:rStyle w:val="Emphasis"/>
            <w:rFonts w:ascii="Times New Roman" w:hAnsi="Times New Roman" w:cs="Times New Roman"/>
            <w:color w:val="000000" w:themeColor="text1"/>
            <w:sz w:val="24"/>
            <w:szCs w:val="24"/>
          </w:rPr>
          <w:t>Hollen v. USCO Distribution Servs., Inc.,</w:t>
        </w:r>
        <w:r w:rsidR="00B87833" w:rsidRPr="007C302D">
          <w:rPr>
            <w:rStyle w:val="Hyperlink"/>
            <w:rFonts w:ascii="Times New Roman" w:hAnsi="Times New Roman" w:cs="Times New Roman"/>
            <w:color w:val="000000" w:themeColor="text1"/>
            <w:sz w:val="24"/>
            <w:szCs w:val="24"/>
          </w:rPr>
          <w:t xml:space="preserve"> No. Civ. 02-1119, 2004 WL 234408, at *11 (D.Minn. Feb. 3, 2004)</w:t>
        </w:r>
      </w:hyperlink>
      <w:r w:rsidR="00533EBD" w:rsidRPr="007C302D">
        <w:rPr>
          <w:rFonts w:ascii="Times New Roman" w:hAnsi="Times New Roman" w:cs="Times New Roman"/>
          <w:color w:val="000000" w:themeColor="text1"/>
          <w:sz w:val="24"/>
          <w:szCs w:val="24"/>
        </w:rPr>
        <w:t>.</w:t>
      </w:r>
    </w:p>
    <w:p w:rsidR="0013042E" w:rsidRDefault="0013042E" w:rsidP="0013042E">
      <w:pPr>
        <w:spacing w:after="0" w:line="240" w:lineRule="auto"/>
        <w:ind w:left="2160"/>
        <w:rPr>
          <w:rFonts w:ascii="Times New Roman" w:eastAsia="Times New Roman" w:hAnsi="Times New Roman" w:cs="Times New Roman"/>
          <w:color w:val="000000" w:themeColor="text1"/>
          <w:sz w:val="24"/>
          <w:szCs w:val="24"/>
        </w:rPr>
      </w:pPr>
    </w:p>
    <w:p w:rsidR="00533EBD" w:rsidRPr="007C302D" w:rsidRDefault="00533EBD" w:rsidP="00081262">
      <w:pPr>
        <w:spacing w:after="0" w:line="240" w:lineRule="auto"/>
        <w:ind w:left="1440"/>
        <w:rPr>
          <w:rFonts w:ascii="Times New Roman" w:eastAsia="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lastRenderedPageBreak/>
        <w:t xml:space="preserve">Of course, once an assault is found to be personal, the employer faces liability for failure to properly supervise, negligent hiring, negligent security and other similar claims. </w:t>
      </w:r>
    </w:p>
    <w:p w:rsidR="00F23A49" w:rsidRDefault="00F23A49" w:rsidP="002956D7">
      <w:pPr>
        <w:spacing w:after="0" w:line="300" w:lineRule="atLeast"/>
        <w:rPr>
          <w:rFonts w:ascii="Times New Roman" w:hAnsi="Times New Roman" w:cs="Times New Roman"/>
          <w:color w:val="000000" w:themeColor="text1"/>
          <w:sz w:val="24"/>
          <w:szCs w:val="24"/>
        </w:rPr>
      </w:pPr>
    </w:p>
    <w:p w:rsidR="00081262" w:rsidRPr="007C302D" w:rsidRDefault="00081262" w:rsidP="002956D7">
      <w:pPr>
        <w:spacing w:after="0" w:line="300" w:lineRule="atLeast"/>
        <w:rPr>
          <w:rFonts w:ascii="Times New Roman" w:hAnsi="Times New Roman" w:cs="Times New Roman"/>
          <w:color w:val="000000" w:themeColor="text1"/>
          <w:sz w:val="24"/>
          <w:szCs w:val="24"/>
        </w:rPr>
      </w:pPr>
    </w:p>
    <w:p w:rsidR="00126753" w:rsidRDefault="00126753" w:rsidP="00A00879">
      <w:pPr>
        <w:pStyle w:val="ListParagraph"/>
        <w:numPr>
          <w:ilvl w:val="0"/>
          <w:numId w:val="9"/>
        </w:numPr>
        <w:tabs>
          <w:tab w:val="left" w:pos="2160"/>
        </w:tabs>
        <w:spacing w:after="0" w:line="240" w:lineRule="auto"/>
        <w:ind w:left="2160" w:hanging="720"/>
        <w:rPr>
          <w:rFonts w:ascii="Times New Roman" w:eastAsia="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t xml:space="preserve">The </w:t>
      </w:r>
      <w:r w:rsidR="00A00879">
        <w:rPr>
          <w:rFonts w:ascii="Times New Roman" w:eastAsia="Times New Roman" w:hAnsi="Times New Roman" w:cs="Times New Roman"/>
          <w:color w:val="000000" w:themeColor="text1"/>
          <w:sz w:val="24"/>
          <w:szCs w:val="24"/>
        </w:rPr>
        <w:t>C</w:t>
      </w:r>
      <w:r w:rsidR="004E50BC" w:rsidRPr="007C302D">
        <w:rPr>
          <w:rFonts w:ascii="Times New Roman" w:eastAsia="Times New Roman" w:hAnsi="Times New Roman" w:cs="Times New Roman"/>
          <w:color w:val="000000" w:themeColor="text1"/>
          <w:sz w:val="24"/>
          <w:szCs w:val="24"/>
        </w:rPr>
        <w:t xml:space="preserve">ommon </w:t>
      </w:r>
      <w:r w:rsidR="00A00879">
        <w:rPr>
          <w:rFonts w:ascii="Times New Roman" w:eastAsia="Times New Roman" w:hAnsi="Times New Roman" w:cs="Times New Roman"/>
          <w:color w:val="000000" w:themeColor="text1"/>
          <w:sz w:val="24"/>
          <w:szCs w:val="24"/>
        </w:rPr>
        <w:t>L</w:t>
      </w:r>
      <w:r w:rsidR="004E50BC" w:rsidRPr="007C302D">
        <w:rPr>
          <w:rFonts w:ascii="Times New Roman" w:eastAsia="Times New Roman" w:hAnsi="Times New Roman" w:cs="Times New Roman"/>
          <w:color w:val="000000" w:themeColor="text1"/>
          <w:sz w:val="24"/>
          <w:szCs w:val="24"/>
        </w:rPr>
        <w:t xml:space="preserve">aw </w:t>
      </w:r>
      <w:r w:rsidR="00A00879">
        <w:rPr>
          <w:rFonts w:ascii="Times New Roman" w:eastAsia="Times New Roman" w:hAnsi="Times New Roman" w:cs="Times New Roman"/>
          <w:color w:val="000000" w:themeColor="text1"/>
          <w:sz w:val="24"/>
          <w:szCs w:val="24"/>
        </w:rPr>
        <w:t>E</w:t>
      </w:r>
      <w:r w:rsidRPr="007C302D">
        <w:rPr>
          <w:rFonts w:ascii="Times New Roman" w:eastAsia="Times New Roman" w:hAnsi="Times New Roman" w:cs="Times New Roman"/>
          <w:color w:val="000000" w:themeColor="text1"/>
          <w:sz w:val="24"/>
          <w:szCs w:val="24"/>
        </w:rPr>
        <w:t xml:space="preserve">mployer </w:t>
      </w:r>
      <w:r w:rsidR="00A00879">
        <w:rPr>
          <w:rFonts w:ascii="Times New Roman" w:eastAsia="Times New Roman" w:hAnsi="Times New Roman" w:cs="Times New Roman"/>
          <w:color w:val="000000" w:themeColor="text1"/>
          <w:sz w:val="24"/>
          <w:szCs w:val="24"/>
        </w:rPr>
        <w:t>I</w:t>
      </w:r>
      <w:r w:rsidRPr="007C302D">
        <w:rPr>
          <w:rFonts w:ascii="Times New Roman" w:eastAsia="Times New Roman" w:hAnsi="Times New Roman" w:cs="Times New Roman"/>
          <w:color w:val="000000" w:themeColor="text1"/>
          <w:sz w:val="24"/>
          <w:szCs w:val="24"/>
        </w:rPr>
        <w:t xml:space="preserve">ntentional </w:t>
      </w:r>
      <w:r w:rsidR="00A00879">
        <w:rPr>
          <w:rFonts w:ascii="Times New Roman" w:eastAsia="Times New Roman" w:hAnsi="Times New Roman" w:cs="Times New Roman"/>
          <w:color w:val="000000" w:themeColor="text1"/>
          <w:sz w:val="24"/>
          <w:szCs w:val="24"/>
        </w:rPr>
        <w:t>I</w:t>
      </w:r>
      <w:r w:rsidRPr="007C302D">
        <w:rPr>
          <w:rFonts w:ascii="Times New Roman" w:eastAsia="Times New Roman" w:hAnsi="Times New Roman" w:cs="Times New Roman"/>
          <w:color w:val="000000" w:themeColor="text1"/>
          <w:sz w:val="24"/>
          <w:szCs w:val="24"/>
        </w:rPr>
        <w:t xml:space="preserve">njury </w:t>
      </w:r>
      <w:r w:rsidR="00A00879">
        <w:rPr>
          <w:rFonts w:ascii="Times New Roman" w:eastAsia="Times New Roman" w:hAnsi="Times New Roman" w:cs="Times New Roman"/>
          <w:color w:val="000000" w:themeColor="text1"/>
          <w:sz w:val="24"/>
          <w:szCs w:val="24"/>
        </w:rPr>
        <w:t>E</w:t>
      </w:r>
      <w:r w:rsidRPr="007C302D">
        <w:rPr>
          <w:rFonts w:ascii="Times New Roman" w:eastAsia="Times New Roman" w:hAnsi="Times New Roman" w:cs="Times New Roman"/>
          <w:color w:val="000000" w:themeColor="text1"/>
          <w:sz w:val="24"/>
          <w:szCs w:val="24"/>
        </w:rPr>
        <w:t>xception</w:t>
      </w:r>
      <w:r w:rsidR="004E50BC" w:rsidRPr="007C302D">
        <w:rPr>
          <w:rFonts w:ascii="Times New Roman" w:eastAsia="Times New Roman" w:hAnsi="Times New Roman" w:cs="Times New Roman"/>
          <w:color w:val="000000" w:themeColor="text1"/>
          <w:sz w:val="24"/>
          <w:szCs w:val="24"/>
        </w:rPr>
        <w:t xml:space="preserve"> to the </w:t>
      </w:r>
      <w:r w:rsidR="00A00879">
        <w:rPr>
          <w:rFonts w:ascii="Times New Roman" w:eastAsia="Times New Roman" w:hAnsi="Times New Roman" w:cs="Times New Roman"/>
          <w:color w:val="000000" w:themeColor="text1"/>
          <w:sz w:val="24"/>
          <w:szCs w:val="24"/>
        </w:rPr>
        <w:t>E</w:t>
      </w:r>
      <w:r w:rsidR="004E50BC" w:rsidRPr="007C302D">
        <w:rPr>
          <w:rFonts w:ascii="Times New Roman" w:eastAsia="Times New Roman" w:hAnsi="Times New Roman" w:cs="Times New Roman"/>
          <w:color w:val="000000" w:themeColor="text1"/>
          <w:sz w:val="24"/>
          <w:szCs w:val="24"/>
        </w:rPr>
        <w:t xml:space="preserve">xclusive </w:t>
      </w:r>
      <w:r w:rsidR="00A00879">
        <w:rPr>
          <w:rFonts w:ascii="Times New Roman" w:eastAsia="Times New Roman" w:hAnsi="Times New Roman" w:cs="Times New Roman"/>
          <w:color w:val="000000" w:themeColor="text1"/>
          <w:sz w:val="24"/>
          <w:szCs w:val="24"/>
        </w:rPr>
        <w:t>R</w:t>
      </w:r>
      <w:r w:rsidR="004E50BC" w:rsidRPr="007C302D">
        <w:rPr>
          <w:rFonts w:ascii="Times New Roman" w:eastAsia="Times New Roman" w:hAnsi="Times New Roman" w:cs="Times New Roman"/>
          <w:color w:val="000000" w:themeColor="text1"/>
          <w:sz w:val="24"/>
          <w:szCs w:val="24"/>
        </w:rPr>
        <w:t xml:space="preserve">emedy </w:t>
      </w:r>
      <w:r w:rsidR="00A00879">
        <w:rPr>
          <w:rFonts w:ascii="Times New Roman" w:eastAsia="Times New Roman" w:hAnsi="Times New Roman" w:cs="Times New Roman"/>
          <w:color w:val="000000" w:themeColor="text1"/>
          <w:sz w:val="24"/>
          <w:szCs w:val="24"/>
        </w:rPr>
        <w:t>P</w:t>
      </w:r>
      <w:r w:rsidR="004E50BC" w:rsidRPr="007C302D">
        <w:rPr>
          <w:rFonts w:ascii="Times New Roman" w:eastAsia="Times New Roman" w:hAnsi="Times New Roman" w:cs="Times New Roman"/>
          <w:color w:val="000000" w:themeColor="text1"/>
          <w:sz w:val="24"/>
          <w:szCs w:val="24"/>
        </w:rPr>
        <w:t>rovision of the WCA</w:t>
      </w:r>
      <w:r w:rsidRPr="007C302D">
        <w:rPr>
          <w:rFonts w:ascii="Times New Roman" w:eastAsia="Times New Roman" w:hAnsi="Times New Roman" w:cs="Times New Roman"/>
          <w:color w:val="000000" w:themeColor="text1"/>
          <w:sz w:val="24"/>
          <w:szCs w:val="24"/>
        </w:rPr>
        <w:t>.</w:t>
      </w:r>
    </w:p>
    <w:p w:rsidR="00A00879" w:rsidRDefault="00A00879" w:rsidP="00081262">
      <w:pPr>
        <w:spacing w:after="0" w:line="240" w:lineRule="auto"/>
        <w:ind w:left="1440"/>
        <w:rPr>
          <w:rFonts w:ascii="Times New Roman" w:eastAsia="Times New Roman" w:hAnsi="Times New Roman" w:cs="Times New Roman"/>
          <w:color w:val="000000" w:themeColor="text1"/>
          <w:sz w:val="24"/>
          <w:szCs w:val="24"/>
        </w:rPr>
      </w:pPr>
    </w:p>
    <w:p w:rsidR="00126753" w:rsidRPr="007C302D" w:rsidRDefault="00126753" w:rsidP="00081262">
      <w:pPr>
        <w:spacing w:after="0" w:line="240" w:lineRule="auto"/>
        <w:ind w:left="1440"/>
        <w:rPr>
          <w:rFonts w:ascii="Times New Roman" w:eastAsia="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t xml:space="preserve">In 1930, the court, in </w:t>
      </w:r>
      <w:r w:rsidRPr="007C302D">
        <w:rPr>
          <w:rFonts w:ascii="Times New Roman" w:eastAsia="Times New Roman" w:hAnsi="Times New Roman" w:cs="Times New Roman"/>
          <w:color w:val="000000" w:themeColor="text1"/>
          <w:sz w:val="24"/>
          <w:szCs w:val="24"/>
          <w:u w:val="single"/>
        </w:rPr>
        <w:t>Boek v. Wong Hing</w:t>
      </w:r>
      <w:r w:rsidRPr="007C302D">
        <w:rPr>
          <w:rFonts w:ascii="Times New Roman" w:eastAsia="Times New Roman" w:hAnsi="Times New Roman" w:cs="Times New Roman"/>
          <w:color w:val="000000" w:themeColor="text1"/>
          <w:sz w:val="24"/>
          <w:szCs w:val="24"/>
        </w:rPr>
        <w:t>, 180 Minn. 470, 440 N.W. 233 (1930), recognized an except</w:t>
      </w:r>
      <w:r w:rsidR="005B15F1">
        <w:rPr>
          <w:rFonts w:ascii="Times New Roman" w:eastAsia="Times New Roman" w:hAnsi="Times New Roman" w:cs="Times New Roman"/>
          <w:color w:val="000000" w:themeColor="text1"/>
          <w:sz w:val="24"/>
          <w:szCs w:val="24"/>
        </w:rPr>
        <w:t>ion</w:t>
      </w:r>
      <w:r w:rsidRPr="007C302D">
        <w:rPr>
          <w:rFonts w:ascii="Times New Roman" w:eastAsia="Times New Roman" w:hAnsi="Times New Roman" w:cs="Times New Roman"/>
          <w:color w:val="000000" w:themeColor="text1"/>
          <w:sz w:val="24"/>
          <w:szCs w:val="24"/>
        </w:rPr>
        <w:t xml:space="preserve"> to the exclusive remedy provisions of the WCA when it allowed a tort claim to proceed against an employer who “willfully assaults and injures a workman” because “it would be a perversion of the purpose of the act to so hold.” Id</w:t>
      </w:r>
      <w:r w:rsidR="00331C99">
        <w:rPr>
          <w:rFonts w:ascii="Times New Roman" w:eastAsia="Times New Roman" w:hAnsi="Times New Roman" w:cs="Times New Roman"/>
          <w:color w:val="000000" w:themeColor="text1"/>
          <w:sz w:val="24"/>
          <w:szCs w:val="24"/>
        </w:rPr>
        <w:t>.</w:t>
      </w:r>
      <w:r w:rsidRPr="007C302D">
        <w:rPr>
          <w:rFonts w:ascii="Times New Roman" w:eastAsia="Times New Roman" w:hAnsi="Times New Roman" w:cs="Times New Roman"/>
          <w:color w:val="000000" w:themeColor="text1"/>
          <w:sz w:val="24"/>
          <w:szCs w:val="24"/>
        </w:rPr>
        <w:t xml:space="preserve"> at 471, 231 N.W. at 233-34.  In addressing the employer intentional injury exception, the </w:t>
      </w:r>
      <w:r w:rsidRPr="007C302D">
        <w:rPr>
          <w:rFonts w:ascii="Times New Roman" w:eastAsia="Times New Roman" w:hAnsi="Times New Roman" w:cs="Times New Roman"/>
          <w:color w:val="000000" w:themeColor="text1"/>
          <w:sz w:val="24"/>
          <w:szCs w:val="24"/>
          <w:u w:val="single"/>
        </w:rPr>
        <w:t>Meintsma</w:t>
      </w:r>
      <w:r w:rsidRPr="007C302D">
        <w:rPr>
          <w:rFonts w:ascii="Times New Roman" w:eastAsia="Times New Roman" w:hAnsi="Times New Roman" w:cs="Times New Roman"/>
          <w:color w:val="000000" w:themeColor="text1"/>
          <w:sz w:val="24"/>
          <w:szCs w:val="24"/>
        </w:rPr>
        <w:t xml:space="preserve">  court noted that “the employee must demonstrate that the employer harbored a conscious and deliber</w:t>
      </w:r>
      <w:r w:rsidR="004E50BC" w:rsidRPr="007C302D">
        <w:rPr>
          <w:rFonts w:ascii="Times New Roman" w:eastAsia="Times New Roman" w:hAnsi="Times New Roman" w:cs="Times New Roman"/>
          <w:color w:val="000000" w:themeColor="text1"/>
          <w:sz w:val="24"/>
          <w:szCs w:val="24"/>
        </w:rPr>
        <w:t>ate intent to injury him or her….[which] may not be inferred from mere negligence, though it be gross…[and is not triggered by the] employer’s knowledge of a substantial certainty of injury to an employee.”  684 N.W.2d at 440 (internal citations and quotations omitted).  The employers</w:t>
      </w:r>
      <w:r w:rsidR="00331C99">
        <w:rPr>
          <w:rFonts w:ascii="Times New Roman" w:eastAsia="Times New Roman" w:hAnsi="Times New Roman" w:cs="Times New Roman"/>
          <w:color w:val="000000" w:themeColor="text1"/>
          <w:sz w:val="24"/>
          <w:szCs w:val="24"/>
        </w:rPr>
        <w:t>’</w:t>
      </w:r>
      <w:r w:rsidR="004E50BC" w:rsidRPr="007C302D">
        <w:rPr>
          <w:rFonts w:ascii="Times New Roman" w:eastAsia="Times New Roman" w:hAnsi="Times New Roman" w:cs="Times New Roman"/>
          <w:color w:val="000000" w:themeColor="text1"/>
          <w:sz w:val="24"/>
          <w:szCs w:val="24"/>
        </w:rPr>
        <w:t xml:space="preserve"> “knowledge and inaction” to prevent the assault is insufficient to meet the “conscious and deliberate intent to injure” test so as to take the claim outside of the exclusive remedy provision. Id</w:t>
      </w:r>
      <w:r w:rsidR="00331C99">
        <w:rPr>
          <w:rFonts w:ascii="Times New Roman" w:eastAsia="Times New Roman" w:hAnsi="Times New Roman" w:cs="Times New Roman"/>
          <w:color w:val="000000" w:themeColor="text1"/>
          <w:sz w:val="24"/>
          <w:szCs w:val="24"/>
        </w:rPr>
        <w:t>.</w:t>
      </w:r>
      <w:r w:rsidR="004E50BC" w:rsidRPr="007C302D">
        <w:rPr>
          <w:rFonts w:ascii="Times New Roman" w:eastAsia="Times New Roman" w:hAnsi="Times New Roman" w:cs="Times New Roman"/>
          <w:color w:val="000000" w:themeColor="text1"/>
          <w:sz w:val="24"/>
          <w:szCs w:val="24"/>
        </w:rPr>
        <w:t xml:space="preserve"> at 440. </w:t>
      </w:r>
    </w:p>
    <w:p w:rsidR="004E50BC" w:rsidRPr="007C302D" w:rsidRDefault="004E50BC" w:rsidP="005B15F1">
      <w:pPr>
        <w:spacing w:after="0" w:line="240" w:lineRule="auto"/>
        <w:ind w:left="480"/>
        <w:rPr>
          <w:rFonts w:ascii="Times New Roman" w:eastAsia="Times New Roman" w:hAnsi="Times New Roman" w:cs="Times New Roman"/>
          <w:color w:val="000000" w:themeColor="text1"/>
          <w:sz w:val="24"/>
          <w:szCs w:val="24"/>
        </w:rPr>
      </w:pPr>
    </w:p>
    <w:p w:rsidR="004E50BC" w:rsidRPr="007C302D" w:rsidRDefault="004E50BC" w:rsidP="0013042E">
      <w:pPr>
        <w:pStyle w:val="ListParagraph"/>
        <w:numPr>
          <w:ilvl w:val="0"/>
          <w:numId w:val="9"/>
        </w:numPr>
        <w:spacing w:after="0" w:line="240" w:lineRule="auto"/>
        <w:ind w:left="2160" w:hanging="720"/>
        <w:rPr>
          <w:rFonts w:ascii="Times New Roman" w:eastAsia="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t xml:space="preserve">The </w:t>
      </w:r>
      <w:r w:rsidR="00194EAC">
        <w:rPr>
          <w:rFonts w:ascii="Times New Roman" w:eastAsia="Times New Roman" w:hAnsi="Times New Roman" w:cs="Times New Roman"/>
          <w:color w:val="000000" w:themeColor="text1"/>
          <w:sz w:val="24"/>
          <w:szCs w:val="24"/>
        </w:rPr>
        <w:t>S</w:t>
      </w:r>
      <w:r w:rsidRPr="007C302D">
        <w:rPr>
          <w:rFonts w:ascii="Times New Roman" w:eastAsia="Times New Roman" w:hAnsi="Times New Roman" w:cs="Times New Roman"/>
          <w:color w:val="000000" w:themeColor="text1"/>
          <w:sz w:val="24"/>
          <w:szCs w:val="24"/>
        </w:rPr>
        <w:t xml:space="preserve">tatutory </w:t>
      </w:r>
      <w:r w:rsidR="00194EAC">
        <w:rPr>
          <w:rFonts w:ascii="Times New Roman" w:eastAsia="Times New Roman" w:hAnsi="Times New Roman" w:cs="Times New Roman"/>
          <w:color w:val="000000" w:themeColor="text1"/>
          <w:sz w:val="24"/>
          <w:szCs w:val="24"/>
        </w:rPr>
        <w:t>E</w:t>
      </w:r>
      <w:r w:rsidRPr="007C302D">
        <w:rPr>
          <w:rFonts w:ascii="Times New Roman" w:eastAsia="Times New Roman" w:hAnsi="Times New Roman" w:cs="Times New Roman"/>
          <w:color w:val="000000" w:themeColor="text1"/>
          <w:sz w:val="24"/>
          <w:szCs w:val="24"/>
        </w:rPr>
        <w:t xml:space="preserve">xception to </w:t>
      </w:r>
      <w:r w:rsidR="00194EAC">
        <w:rPr>
          <w:rFonts w:ascii="Times New Roman" w:eastAsia="Times New Roman" w:hAnsi="Times New Roman" w:cs="Times New Roman"/>
          <w:color w:val="000000" w:themeColor="text1"/>
          <w:sz w:val="24"/>
          <w:szCs w:val="24"/>
        </w:rPr>
        <w:t>C</w:t>
      </w:r>
      <w:r w:rsidRPr="007C302D">
        <w:rPr>
          <w:rFonts w:ascii="Times New Roman" w:eastAsia="Times New Roman" w:hAnsi="Times New Roman" w:cs="Times New Roman"/>
          <w:color w:val="000000" w:themeColor="text1"/>
          <w:sz w:val="24"/>
          <w:szCs w:val="24"/>
        </w:rPr>
        <w:t>o-</w:t>
      </w:r>
      <w:r w:rsidR="00194EAC">
        <w:rPr>
          <w:rFonts w:ascii="Times New Roman" w:eastAsia="Times New Roman" w:hAnsi="Times New Roman" w:cs="Times New Roman"/>
          <w:color w:val="000000" w:themeColor="text1"/>
          <w:sz w:val="24"/>
          <w:szCs w:val="24"/>
        </w:rPr>
        <w:t>E</w:t>
      </w:r>
      <w:r w:rsidRPr="007C302D">
        <w:rPr>
          <w:rFonts w:ascii="Times New Roman" w:eastAsia="Times New Roman" w:hAnsi="Times New Roman" w:cs="Times New Roman"/>
          <w:color w:val="000000" w:themeColor="text1"/>
          <w:sz w:val="24"/>
          <w:szCs w:val="24"/>
        </w:rPr>
        <w:t xml:space="preserve">mployee </w:t>
      </w:r>
      <w:r w:rsidR="00194EAC">
        <w:rPr>
          <w:rFonts w:ascii="Times New Roman" w:eastAsia="Times New Roman" w:hAnsi="Times New Roman" w:cs="Times New Roman"/>
          <w:color w:val="000000" w:themeColor="text1"/>
          <w:sz w:val="24"/>
          <w:szCs w:val="24"/>
        </w:rPr>
        <w:t>T</w:t>
      </w:r>
      <w:r w:rsidRPr="007C302D">
        <w:rPr>
          <w:rFonts w:ascii="Times New Roman" w:eastAsia="Times New Roman" w:hAnsi="Times New Roman" w:cs="Times New Roman"/>
          <w:color w:val="000000" w:themeColor="text1"/>
          <w:sz w:val="24"/>
          <w:szCs w:val="24"/>
        </w:rPr>
        <w:t xml:space="preserve">ort </w:t>
      </w:r>
      <w:r w:rsidR="00194EAC">
        <w:rPr>
          <w:rFonts w:ascii="Times New Roman" w:eastAsia="Times New Roman" w:hAnsi="Times New Roman" w:cs="Times New Roman"/>
          <w:color w:val="000000" w:themeColor="text1"/>
          <w:sz w:val="24"/>
          <w:szCs w:val="24"/>
        </w:rPr>
        <w:t>L</w:t>
      </w:r>
      <w:r w:rsidRPr="007C302D">
        <w:rPr>
          <w:rFonts w:ascii="Times New Roman" w:eastAsia="Times New Roman" w:hAnsi="Times New Roman" w:cs="Times New Roman"/>
          <w:color w:val="000000" w:themeColor="text1"/>
          <w:sz w:val="24"/>
          <w:szCs w:val="24"/>
        </w:rPr>
        <w:t xml:space="preserve">iability for </w:t>
      </w:r>
      <w:r w:rsidR="00194EAC">
        <w:rPr>
          <w:rFonts w:ascii="Times New Roman" w:eastAsia="Times New Roman" w:hAnsi="Times New Roman" w:cs="Times New Roman"/>
          <w:color w:val="000000" w:themeColor="text1"/>
          <w:sz w:val="24"/>
          <w:szCs w:val="24"/>
        </w:rPr>
        <w:t>I</w:t>
      </w:r>
      <w:r w:rsidRPr="007C302D">
        <w:rPr>
          <w:rFonts w:ascii="Times New Roman" w:eastAsia="Times New Roman" w:hAnsi="Times New Roman" w:cs="Times New Roman"/>
          <w:color w:val="000000" w:themeColor="text1"/>
          <w:sz w:val="24"/>
          <w:szCs w:val="24"/>
        </w:rPr>
        <w:t xml:space="preserve">ntentional </w:t>
      </w:r>
      <w:r w:rsidR="00194EAC">
        <w:rPr>
          <w:rFonts w:ascii="Times New Roman" w:eastAsia="Times New Roman" w:hAnsi="Times New Roman" w:cs="Times New Roman"/>
          <w:color w:val="000000" w:themeColor="text1"/>
          <w:sz w:val="24"/>
          <w:szCs w:val="24"/>
        </w:rPr>
        <w:t>I</w:t>
      </w:r>
      <w:r w:rsidRPr="007C302D">
        <w:rPr>
          <w:rFonts w:ascii="Times New Roman" w:eastAsia="Times New Roman" w:hAnsi="Times New Roman" w:cs="Times New Roman"/>
          <w:color w:val="000000" w:themeColor="text1"/>
          <w:sz w:val="24"/>
          <w:szCs w:val="24"/>
        </w:rPr>
        <w:t>njuries.</w:t>
      </w:r>
    </w:p>
    <w:p w:rsidR="00A77843" w:rsidRDefault="00A77843" w:rsidP="00971454">
      <w:pPr>
        <w:spacing w:after="0" w:line="240" w:lineRule="auto"/>
        <w:ind w:left="480"/>
        <w:rPr>
          <w:rFonts w:ascii="Times New Roman" w:eastAsia="Times New Roman" w:hAnsi="Times New Roman" w:cs="Times New Roman"/>
          <w:color w:val="000000" w:themeColor="text1"/>
          <w:sz w:val="24"/>
          <w:szCs w:val="24"/>
        </w:rPr>
      </w:pPr>
    </w:p>
    <w:p w:rsidR="00F23A49" w:rsidRDefault="004E50BC" w:rsidP="00081262">
      <w:pPr>
        <w:spacing w:after="0" w:line="240" w:lineRule="auto"/>
        <w:ind w:left="1440"/>
        <w:rPr>
          <w:rFonts w:ascii="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lastRenderedPageBreak/>
        <w:t xml:space="preserve">Minn Stat. Sec. 176.061 </w:t>
      </w:r>
      <w:r w:rsidR="006D50D5" w:rsidRPr="007C302D">
        <w:rPr>
          <w:rFonts w:ascii="Times New Roman" w:eastAsia="Times New Roman" w:hAnsi="Times New Roman" w:cs="Times New Roman"/>
          <w:color w:val="000000" w:themeColor="text1"/>
          <w:sz w:val="24"/>
          <w:szCs w:val="24"/>
        </w:rPr>
        <w:t xml:space="preserve">Subd. 5 (e) </w:t>
      </w:r>
      <w:r w:rsidR="006D50D5" w:rsidRPr="007C302D">
        <w:rPr>
          <w:rStyle w:val="FootnoteReference"/>
          <w:rFonts w:ascii="Times New Roman" w:eastAsia="Times New Roman" w:hAnsi="Times New Roman" w:cs="Times New Roman"/>
          <w:color w:val="000000" w:themeColor="text1"/>
          <w:sz w:val="24"/>
          <w:szCs w:val="24"/>
        </w:rPr>
        <w:footnoteReference w:id="3"/>
      </w:r>
      <w:r w:rsidR="006D50D5" w:rsidRPr="007C302D">
        <w:rPr>
          <w:rFonts w:ascii="Times New Roman" w:eastAsia="Times New Roman" w:hAnsi="Times New Roman" w:cs="Times New Roman"/>
          <w:color w:val="000000" w:themeColor="text1"/>
          <w:sz w:val="24"/>
          <w:szCs w:val="24"/>
        </w:rPr>
        <w:t>states: “</w:t>
      </w:r>
      <w:r w:rsidR="006D50D5" w:rsidRPr="007C302D">
        <w:rPr>
          <w:rFonts w:ascii="Times New Roman" w:hAnsi="Times New Roman" w:cs="Times New Roman"/>
          <w:color w:val="000000" w:themeColor="text1"/>
          <w:sz w:val="24"/>
          <w:szCs w:val="24"/>
        </w:rPr>
        <w:t xml:space="preserve">A coemployee working for the same employer is not liable for a personal injury incurred by another employee unless the injury resulted from the gross negligence of the coemployee or was intentionally inflicted by the coemployee.” We will address the gross negligence exception in the following section of the paper.  </w:t>
      </w:r>
      <w:r w:rsidR="006D50D5" w:rsidRPr="007C302D">
        <w:rPr>
          <w:rFonts w:ascii="Times New Roman" w:hAnsi="Times New Roman" w:cs="Times New Roman"/>
          <w:color w:val="000000" w:themeColor="text1"/>
          <w:sz w:val="24"/>
          <w:szCs w:val="24"/>
          <w:u w:val="single"/>
        </w:rPr>
        <w:t xml:space="preserve">Meintsma </w:t>
      </w:r>
      <w:r w:rsidR="006D50D5" w:rsidRPr="007C302D">
        <w:rPr>
          <w:rFonts w:ascii="Times New Roman" w:hAnsi="Times New Roman" w:cs="Times New Roman"/>
          <w:color w:val="000000" w:themeColor="text1"/>
          <w:sz w:val="24"/>
          <w:szCs w:val="24"/>
        </w:rPr>
        <w:t xml:space="preserve">addressed this exception as well. The issue in </w:t>
      </w:r>
      <w:r w:rsidR="006D50D5" w:rsidRPr="007C302D">
        <w:rPr>
          <w:rFonts w:ascii="Times New Roman" w:hAnsi="Times New Roman" w:cs="Times New Roman"/>
          <w:color w:val="000000" w:themeColor="text1"/>
          <w:sz w:val="24"/>
          <w:szCs w:val="24"/>
          <w:u w:val="single"/>
        </w:rPr>
        <w:t xml:space="preserve">Meintsma </w:t>
      </w:r>
      <w:r w:rsidR="006D50D5" w:rsidRPr="007C302D">
        <w:rPr>
          <w:rFonts w:ascii="Times New Roman" w:hAnsi="Times New Roman" w:cs="Times New Roman"/>
          <w:color w:val="000000" w:themeColor="text1"/>
          <w:sz w:val="24"/>
          <w:szCs w:val="24"/>
        </w:rPr>
        <w:t xml:space="preserve">was whether the statute applied if the co-employee intended to commit the act causing the injury, or whether the injured employee had to prove that the co-employee intended to cause the injury in order to avoid the workers’ compensation bar and sue the co-employee in tort.  </w:t>
      </w:r>
      <w:r w:rsidR="006D50D5" w:rsidRPr="007C302D">
        <w:rPr>
          <w:rFonts w:ascii="Times New Roman" w:hAnsi="Times New Roman" w:cs="Times New Roman"/>
          <w:color w:val="000000" w:themeColor="text1"/>
          <w:sz w:val="24"/>
          <w:szCs w:val="24"/>
          <w:u w:val="single"/>
        </w:rPr>
        <w:t xml:space="preserve">Meintsma </w:t>
      </w:r>
      <w:r w:rsidR="006D50D5" w:rsidRPr="007C302D">
        <w:rPr>
          <w:rFonts w:ascii="Times New Roman" w:hAnsi="Times New Roman" w:cs="Times New Roman"/>
          <w:color w:val="000000" w:themeColor="text1"/>
          <w:sz w:val="24"/>
          <w:szCs w:val="24"/>
        </w:rPr>
        <w:t xml:space="preserve">construing the language of the statute to be consistent with the requirements of the common law intentional injury exception, found that the injured employee must prove that the defendant “consciously and deliberately intend[ed] to cause an injury, not just intend[ed] to do the act.” 684 N. W. at 441. </w:t>
      </w:r>
      <w:r w:rsidR="005805A9" w:rsidRPr="007C302D">
        <w:rPr>
          <w:rFonts w:ascii="Times New Roman" w:hAnsi="Times New Roman" w:cs="Times New Roman"/>
          <w:color w:val="000000" w:themeColor="text1"/>
          <w:sz w:val="24"/>
          <w:szCs w:val="24"/>
        </w:rPr>
        <w:t xml:space="preserve"> The </w:t>
      </w:r>
      <w:r w:rsidR="005805A9" w:rsidRPr="007C302D">
        <w:rPr>
          <w:rFonts w:ascii="Times New Roman" w:hAnsi="Times New Roman" w:cs="Times New Roman"/>
          <w:color w:val="000000" w:themeColor="text1"/>
          <w:sz w:val="24"/>
          <w:szCs w:val="24"/>
          <w:u w:val="single"/>
        </w:rPr>
        <w:t xml:space="preserve">Meintsma </w:t>
      </w:r>
      <w:r w:rsidR="005805A9" w:rsidRPr="007C302D">
        <w:rPr>
          <w:rFonts w:ascii="Times New Roman" w:hAnsi="Times New Roman" w:cs="Times New Roman"/>
          <w:color w:val="000000" w:themeColor="text1"/>
          <w:sz w:val="24"/>
          <w:szCs w:val="24"/>
        </w:rPr>
        <w:t xml:space="preserve">court determined that fact issues existed regarding whether the co-employees intended to inflict injury. It did not reach the question of whether the employer could be vicariously liable. </w:t>
      </w:r>
    </w:p>
    <w:p w:rsidR="00081262" w:rsidRDefault="00081262" w:rsidP="00081262">
      <w:pPr>
        <w:spacing w:after="0" w:line="240" w:lineRule="auto"/>
        <w:ind w:left="1440"/>
        <w:rPr>
          <w:rFonts w:ascii="Times New Roman" w:hAnsi="Times New Roman" w:cs="Times New Roman"/>
          <w:color w:val="000000" w:themeColor="text1"/>
          <w:sz w:val="24"/>
          <w:szCs w:val="24"/>
        </w:rPr>
      </w:pPr>
    </w:p>
    <w:p w:rsidR="007B335B" w:rsidRPr="00475328" w:rsidRDefault="007B335B" w:rsidP="0013042E">
      <w:pPr>
        <w:pStyle w:val="ListParagraph"/>
        <w:numPr>
          <w:ilvl w:val="0"/>
          <w:numId w:val="8"/>
        </w:numPr>
        <w:spacing w:after="0" w:line="240" w:lineRule="auto"/>
        <w:ind w:left="1440" w:hanging="720"/>
        <w:rPr>
          <w:rFonts w:ascii="Times New Roman" w:eastAsia="Times New Roman" w:hAnsi="Times New Roman" w:cs="Times New Roman"/>
          <w:color w:val="000000" w:themeColor="text1"/>
          <w:sz w:val="24"/>
          <w:szCs w:val="24"/>
        </w:rPr>
      </w:pPr>
      <w:r w:rsidRPr="00475328">
        <w:rPr>
          <w:rFonts w:ascii="Times New Roman" w:eastAsia="Times New Roman" w:hAnsi="Times New Roman" w:cs="Times New Roman"/>
          <w:color w:val="000000" w:themeColor="text1"/>
          <w:sz w:val="24"/>
          <w:szCs w:val="24"/>
        </w:rPr>
        <w:t>Co-</w:t>
      </w:r>
      <w:r w:rsidR="00475328">
        <w:rPr>
          <w:rFonts w:ascii="Times New Roman" w:eastAsia="Times New Roman" w:hAnsi="Times New Roman" w:cs="Times New Roman"/>
          <w:color w:val="000000" w:themeColor="text1"/>
          <w:sz w:val="24"/>
          <w:szCs w:val="24"/>
        </w:rPr>
        <w:t>E</w:t>
      </w:r>
      <w:r w:rsidRPr="00475328">
        <w:rPr>
          <w:rFonts w:ascii="Times New Roman" w:eastAsia="Times New Roman" w:hAnsi="Times New Roman" w:cs="Times New Roman"/>
          <w:color w:val="000000" w:themeColor="text1"/>
          <w:sz w:val="24"/>
          <w:szCs w:val="24"/>
        </w:rPr>
        <w:t>mpl</w:t>
      </w:r>
      <w:r w:rsidR="00475328">
        <w:rPr>
          <w:rFonts w:ascii="Times New Roman" w:eastAsia="Times New Roman" w:hAnsi="Times New Roman" w:cs="Times New Roman"/>
          <w:color w:val="000000" w:themeColor="text1"/>
          <w:sz w:val="24"/>
          <w:szCs w:val="24"/>
        </w:rPr>
        <w:t>o</w:t>
      </w:r>
      <w:r w:rsidRPr="00475328">
        <w:rPr>
          <w:rFonts w:ascii="Times New Roman" w:eastAsia="Times New Roman" w:hAnsi="Times New Roman" w:cs="Times New Roman"/>
          <w:color w:val="000000" w:themeColor="text1"/>
          <w:sz w:val="24"/>
          <w:szCs w:val="24"/>
        </w:rPr>
        <w:t xml:space="preserve">yees </w:t>
      </w:r>
      <w:r w:rsidR="000D49A5" w:rsidRPr="00475328">
        <w:rPr>
          <w:rFonts w:ascii="Times New Roman" w:eastAsia="Times New Roman" w:hAnsi="Times New Roman" w:cs="Times New Roman"/>
          <w:color w:val="000000" w:themeColor="text1"/>
          <w:sz w:val="24"/>
          <w:szCs w:val="24"/>
        </w:rPr>
        <w:t>W</w:t>
      </w:r>
      <w:r w:rsidRPr="00475328">
        <w:rPr>
          <w:rFonts w:ascii="Times New Roman" w:eastAsia="Times New Roman" w:hAnsi="Times New Roman" w:cs="Times New Roman"/>
          <w:color w:val="000000" w:themeColor="text1"/>
          <w:sz w:val="24"/>
          <w:szCs w:val="24"/>
        </w:rPr>
        <w:t xml:space="preserve">ho are </w:t>
      </w:r>
      <w:r w:rsidR="00CA5280" w:rsidRPr="00475328">
        <w:rPr>
          <w:rFonts w:ascii="Times New Roman" w:eastAsia="Times New Roman" w:hAnsi="Times New Roman" w:cs="Times New Roman"/>
          <w:color w:val="000000" w:themeColor="text1"/>
          <w:sz w:val="24"/>
          <w:szCs w:val="24"/>
        </w:rPr>
        <w:t>G</w:t>
      </w:r>
      <w:r w:rsidRPr="00475328">
        <w:rPr>
          <w:rFonts w:ascii="Times New Roman" w:eastAsia="Times New Roman" w:hAnsi="Times New Roman" w:cs="Times New Roman"/>
          <w:color w:val="000000" w:themeColor="text1"/>
          <w:sz w:val="24"/>
          <w:szCs w:val="24"/>
        </w:rPr>
        <w:t xml:space="preserve">rossly </w:t>
      </w:r>
      <w:r w:rsidR="00CA5280" w:rsidRPr="00475328">
        <w:rPr>
          <w:rFonts w:ascii="Times New Roman" w:eastAsia="Times New Roman" w:hAnsi="Times New Roman" w:cs="Times New Roman"/>
          <w:color w:val="000000" w:themeColor="text1"/>
          <w:sz w:val="24"/>
          <w:szCs w:val="24"/>
        </w:rPr>
        <w:t>N</w:t>
      </w:r>
      <w:r w:rsidRPr="00475328">
        <w:rPr>
          <w:rFonts w:ascii="Times New Roman" w:eastAsia="Times New Roman" w:hAnsi="Times New Roman" w:cs="Times New Roman"/>
          <w:color w:val="000000" w:themeColor="text1"/>
          <w:sz w:val="24"/>
          <w:szCs w:val="24"/>
        </w:rPr>
        <w:t xml:space="preserve">egligent and </w:t>
      </w:r>
      <w:r w:rsidR="00CA5280" w:rsidRPr="00475328">
        <w:rPr>
          <w:rFonts w:ascii="Times New Roman" w:eastAsia="Times New Roman" w:hAnsi="Times New Roman" w:cs="Times New Roman"/>
          <w:color w:val="000000" w:themeColor="text1"/>
          <w:sz w:val="24"/>
          <w:szCs w:val="24"/>
        </w:rPr>
        <w:t>B</w:t>
      </w:r>
      <w:r w:rsidRPr="00475328">
        <w:rPr>
          <w:rFonts w:ascii="Times New Roman" w:eastAsia="Times New Roman" w:hAnsi="Times New Roman" w:cs="Times New Roman"/>
          <w:color w:val="000000" w:themeColor="text1"/>
          <w:sz w:val="24"/>
          <w:szCs w:val="24"/>
        </w:rPr>
        <w:t>reach a “</w:t>
      </w:r>
      <w:r w:rsidR="00CA5280" w:rsidRPr="00475328">
        <w:rPr>
          <w:rFonts w:ascii="Times New Roman" w:eastAsia="Times New Roman" w:hAnsi="Times New Roman" w:cs="Times New Roman"/>
          <w:color w:val="000000" w:themeColor="text1"/>
          <w:sz w:val="24"/>
          <w:szCs w:val="24"/>
        </w:rPr>
        <w:t>P</w:t>
      </w:r>
      <w:r w:rsidRPr="00475328">
        <w:rPr>
          <w:rFonts w:ascii="Times New Roman" w:eastAsia="Times New Roman" w:hAnsi="Times New Roman" w:cs="Times New Roman"/>
          <w:color w:val="000000" w:themeColor="text1"/>
          <w:sz w:val="24"/>
          <w:szCs w:val="24"/>
        </w:rPr>
        <w:t xml:space="preserve">ersonal </w:t>
      </w:r>
      <w:r w:rsidR="00CA5280" w:rsidRPr="00475328">
        <w:rPr>
          <w:rFonts w:ascii="Times New Roman" w:eastAsia="Times New Roman" w:hAnsi="Times New Roman" w:cs="Times New Roman"/>
          <w:color w:val="000000" w:themeColor="text1"/>
          <w:sz w:val="24"/>
          <w:szCs w:val="24"/>
        </w:rPr>
        <w:t>D</w:t>
      </w:r>
      <w:r w:rsidRPr="00475328">
        <w:rPr>
          <w:rFonts w:ascii="Times New Roman" w:eastAsia="Times New Roman" w:hAnsi="Times New Roman" w:cs="Times New Roman"/>
          <w:color w:val="000000" w:themeColor="text1"/>
          <w:sz w:val="24"/>
          <w:szCs w:val="24"/>
        </w:rPr>
        <w:t xml:space="preserve">uty” to the </w:t>
      </w:r>
      <w:r w:rsidR="00CA5280" w:rsidRPr="00475328">
        <w:rPr>
          <w:rFonts w:ascii="Times New Roman" w:eastAsia="Times New Roman" w:hAnsi="Times New Roman" w:cs="Times New Roman"/>
          <w:color w:val="000000" w:themeColor="text1"/>
          <w:sz w:val="24"/>
          <w:szCs w:val="24"/>
        </w:rPr>
        <w:t>I</w:t>
      </w:r>
      <w:r w:rsidRPr="00475328">
        <w:rPr>
          <w:rFonts w:ascii="Times New Roman" w:eastAsia="Times New Roman" w:hAnsi="Times New Roman" w:cs="Times New Roman"/>
          <w:color w:val="000000" w:themeColor="text1"/>
          <w:sz w:val="24"/>
          <w:szCs w:val="24"/>
        </w:rPr>
        <w:t xml:space="preserve">njured </w:t>
      </w:r>
      <w:r w:rsidR="00CA5280" w:rsidRPr="00475328">
        <w:rPr>
          <w:rFonts w:ascii="Times New Roman" w:eastAsia="Times New Roman" w:hAnsi="Times New Roman" w:cs="Times New Roman"/>
          <w:color w:val="000000" w:themeColor="text1"/>
          <w:sz w:val="24"/>
          <w:szCs w:val="24"/>
        </w:rPr>
        <w:t>E</w:t>
      </w:r>
      <w:r w:rsidRPr="00475328">
        <w:rPr>
          <w:rFonts w:ascii="Times New Roman" w:eastAsia="Times New Roman" w:hAnsi="Times New Roman" w:cs="Times New Roman"/>
          <w:color w:val="000000" w:themeColor="text1"/>
          <w:sz w:val="24"/>
          <w:szCs w:val="24"/>
        </w:rPr>
        <w:t>mployee.</w:t>
      </w:r>
    </w:p>
    <w:p w:rsidR="00465E1F" w:rsidRPr="00465E1F" w:rsidRDefault="00465E1F" w:rsidP="00465E1F">
      <w:pPr>
        <w:pStyle w:val="ListParagraph"/>
        <w:spacing w:after="0" w:line="240" w:lineRule="auto"/>
        <w:ind w:left="1440"/>
        <w:rPr>
          <w:rFonts w:ascii="Times New Roman" w:eastAsia="Times New Roman" w:hAnsi="Times New Roman" w:cs="Times New Roman"/>
          <w:b/>
          <w:color w:val="000000" w:themeColor="text1"/>
          <w:sz w:val="24"/>
          <w:szCs w:val="24"/>
        </w:rPr>
      </w:pPr>
    </w:p>
    <w:p w:rsidR="0087520D" w:rsidRPr="007C302D" w:rsidRDefault="00C22EA0" w:rsidP="0013042E">
      <w:pPr>
        <w:spacing w:before="48" w:after="120" w:line="240" w:lineRule="auto"/>
        <w:ind w:left="720"/>
        <w:rPr>
          <w:rFonts w:ascii="Times New Roman" w:eastAsia="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t xml:space="preserve">As quoted above, Minn. Stat. Sec. 176.061 subd. 5(e) allows an injured employee to sue a co-employee who causes his injury as a result of gross negligence. However the courts have put a significant gloss on this exception that makes recovering against an employer for injuries sustained at the hands of a grossly negligent co-employee in tort virtually impossible, and makes claims against even grossly negligent co-employees very difficult. This gloss is </w:t>
      </w:r>
      <w:r w:rsidR="00ED0F76" w:rsidRPr="007C302D">
        <w:rPr>
          <w:rFonts w:ascii="Times New Roman" w:eastAsia="Times New Roman" w:hAnsi="Times New Roman" w:cs="Times New Roman"/>
          <w:color w:val="000000" w:themeColor="text1"/>
          <w:sz w:val="24"/>
          <w:szCs w:val="24"/>
        </w:rPr>
        <w:t>known</w:t>
      </w:r>
      <w:r w:rsidRPr="007C302D">
        <w:rPr>
          <w:rFonts w:ascii="Times New Roman" w:eastAsia="Times New Roman" w:hAnsi="Times New Roman" w:cs="Times New Roman"/>
          <w:color w:val="000000" w:themeColor="text1"/>
          <w:sz w:val="24"/>
          <w:szCs w:val="24"/>
        </w:rPr>
        <w:t xml:space="preserve"> as the “personal duty rule” and since its adoption in </w:t>
      </w:r>
      <w:r w:rsidRPr="007C302D">
        <w:rPr>
          <w:rFonts w:ascii="Times New Roman" w:eastAsia="Times New Roman" w:hAnsi="Times New Roman" w:cs="Times New Roman"/>
          <w:color w:val="000000" w:themeColor="text1"/>
          <w:sz w:val="24"/>
          <w:szCs w:val="24"/>
          <w:u w:val="single"/>
        </w:rPr>
        <w:t>Dawley v. Thisius</w:t>
      </w:r>
      <w:r w:rsidRPr="007C302D">
        <w:rPr>
          <w:rFonts w:ascii="Times New Roman" w:eastAsia="Times New Roman" w:hAnsi="Times New Roman" w:cs="Times New Roman"/>
          <w:color w:val="000000" w:themeColor="text1"/>
          <w:sz w:val="24"/>
          <w:szCs w:val="24"/>
        </w:rPr>
        <w:t xml:space="preserve">, 304 Minn. </w:t>
      </w:r>
      <w:r w:rsidRPr="007C302D">
        <w:rPr>
          <w:rFonts w:ascii="Times New Roman" w:eastAsia="Times New Roman" w:hAnsi="Times New Roman" w:cs="Times New Roman"/>
          <w:color w:val="000000" w:themeColor="text1"/>
          <w:sz w:val="24"/>
          <w:szCs w:val="24"/>
        </w:rPr>
        <w:lastRenderedPageBreak/>
        <w:t xml:space="preserve">453, 231 N.W.2d 555 (Minn. 1975), </w:t>
      </w:r>
      <w:r w:rsidR="001A60AD" w:rsidRPr="007C302D">
        <w:rPr>
          <w:rFonts w:ascii="Times New Roman" w:eastAsia="Times New Roman" w:hAnsi="Times New Roman" w:cs="Times New Roman"/>
          <w:color w:val="000000" w:themeColor="text1"/>
          <w:sz w:val="24"/>
          <w:szCs w:val="24"/>
        </w:rPr>
        <w:t xml:space="preserve">the Supreme Court has consistently resisted the temptation to find co-employee liability outside the context of intentional injury. </w:t>
      </w:r>
      <w:r w:rsidR="001A60AD" w:rsidRPr="007C302D">
        <w:rPr>
          <w:rStyle w:val="FootnoteReference"/>
          <w:rFonts w:ascii="Times New Roman" w:eastAsia="Times New Roman" w:hAnsi="Times New Roman" w:cs="Times New Roman"/>
          <w:color w:val="000000" w:themeColor="text1"/>
          <w:sz w:val="24"/>
          <w:szCs w:val="24"/>
        </w:rPr>
        <w:footnoteReference w:id="4"/>
      </w:r>
      <w:r w:rsidR="001A60AD" w:rsidRPr="007C302D">
        <w:rPr>
          <w:rFonts w:ascii="Times New Roman" w:eastAsia="Times New Roman" w:hAnsi="Times New Roman" w:cs="Times New Roman"/>
          <w:color w:val="000000" w:themeColor="text1"/>
          <w:sz w:val="24"/>
          <w:szCs w:val="24"/>
        </w:rPr>
        <w:t xml:space="preserve"> In </w:t>
      </w:r>
      <w:r w:rsidR="001A60AD" w:rsidRPr="007C302D">
        <w:rPr>
          <w:rFonts w:ascii="Times New Roman" w:eastAsia="Times New Roman" w:hAnsi="Times New Roman" w:cs="Times New Roman"/>
          <w:color w:val="000000" w:themeColor="text1"/>
          <w:sz w:val="24"/>
          <w:szCs w:val="24"/>
          <w:u w:val="single"/>
        </w:rPr>
        <w:t>Dawley</w:t>
      </w:r>
      <w:r w:rsidR="001A60AD" w:rsidRPr="007C302D">
        <w:rPr>
          <w:rFonts w:ascii="Times New Roman" w:eastAsia="Times New Roman" w:hAnsi="Times New Roman" w:cs="Times New Roman"/>
          <w:color w:val="000000" w:themeColor="text1"/>
          <w:sz w:val="24"/>
          <w:szCs w:val="24"/>
        </w:rPr>
        <w:t xml:space="preserve"> the court applied the personal duty test to prevent an employee from suing the general manager of a plant for breaching his duty to provide for the overall safety of the plant and found that a co-employee will have no personal liability “because of his general administrative responsibility for some function of his employment without more.” 304 Minn. </w:t>
      </w:r>
      <w:r w:rsidR="0087520D" w:rsidRPr="007C302D">
        <w:rPr>
          <w:rFonts w:ascii="Times New Roman" w:eastAsia="Times New Roman" w:hAnsi="Times New Roman" w:cs="Times New Roman"/>
          <w:color w:val="000000" w:themeColor="text1"/>
          <w:sz w:val="24"/>
          <w:szCs w:val="24"/>
        </w:rPr>
        <w:t>a</w:t>
      </w:r>
      <w:r w:rsidR="001A60AD" w:rsidRPr="007C302D">
        <w:rPr>
          <w:rFonts w:ascii="Times New Roman" w:eastAsia="Times New Roman" w:hAnsi="Times New Roman" w:cs="Times New Roman"/>
          <w:color w:val="000000" w:themeColor="text1"/>
          <w:sz w:val="24"/>
          <w:szCs w:val="24"/>
        </w:rPr>
        <w:t xml:space="preserve">t 456, 231 N.W.2d at 557.  </w:t>
      </w:r>
    </w:p>
    <w:p w:rsidR="00C22EA0" w:rsidRPr="007C302D" w:rsidRDefault="0087520D" w:rsidP="0013042E">
      <w:pPr>
        <w:spacing w:before="48" w:after="120" w:line="240" w:lineRule="auto"/>
        <w:ind w:left="720"/>
        <w:rPr>
          <w:rFonts w:ascii="Times New Roman" w:eastAsia="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t>20 years later, i</w:t>
      </w:r>
      <w:r w:rsidR="001A60AD" w:rsidRPr="007C302D">
        <w:rPr>
          <w:rFonts w:ascii="Times New Roman" w:eastAsia="Times New Roman" w:hAnsi="Times New Roman" w:cs="Times New Roman"/>
          <w:color w:val="000000" w:themeColor="text1"/>
          <w:sz w:val="24"/>
          <w:szCs w:val="24"/>
        </w:rPr>
        <w:t xml:space="preserve">n </w:t>
      </w:r>
      <w:r w:rsidR="001A60AD" w:rsidRPr="007C302D">
        <w:rPr>
          <w:rFonts w:ascii="Times New Roman" w:eastAsia="Times New Roman" w:hAnsi="Times New Roman" w:cs="Times New Roman"/>
          <w:color w:val="000000" w:themeColor="text1"/>
          <w:sz w:val="24"/>
          <w:szCs w:val="24"/>
          <w:u w:val="single"/>
        </w:rPr>
        <w:t>Wicken v. Morris</w:t>
      </w:r>
      <w:r w:rsidRPr="007C302D">
        <w:rPr>
          <w:rFonts w:ascii="Times New Roman" w:eastAsia="Times New Roman" w:hAnsi="Times New Roman" w:cs="Times New Roman"/>
          <w:color w:val="000000" w:themeColor="text1"/>
          <w:sz w:val="24"/>
          <w:szCs w:val="24"/>
        </w:rPr>
        <w:t xml:space="preserve">, 527 N.W.2d 95 (Minn. 1995) the defendant manager was accused of fraud in creating the conditions that resulted in the plaintiffs getting blown up. Again, however, the Supreme Court  found that as the manager’s fraud was not directed toward the employees, it too was merely an administrative activity required as an integral part of the manager’s employment obligations. Id. at 99. The </w:t>
      </w:r>
      <w:r w:rsidRPr="007C302D">
        <w:rPr>
          <w:rFonts w:ascii="Times New Roman" w:eastAsia="Times New Roman" w:hAnsi="Times New Roman" w:cs="Times New Roman"/>
          <w:color w:val="000000" w:themeColor="text1"/>
          <w:sz w:val="24"/>
          <w:szCs w:val="24"/>
          <w:u w:val="single"/>
        </w:rPr>
        <w:t>Wicken</w:t>
      </w:r>
      <w:r w:rsidRPr="007C302D">
        <w:rPr>
          <w:rFonts w:ascii="Times New Roman" w:eastAsia="Times New Roman" w:hAnsi="Times New Roman" w:cs="Times New Roman"/>
          <w:color w:val="000000" w:themeColor="text1"/>
          <w:sz w:val="24"/>
          <w:szCs w:val="24"/>
        </w:rPr>
        <w:t xml:space="preserve"> court added, “to hold otherwise, permitting co-employee liability when harm results however indirectly from the carrying out of administrative obligations incident to work responsibilities would eviscerate the fundamental purpose of the workers’</w:t>
      </w:r>
      <w:r w:rsidR="00ED0F76" w:rsidRPr="007C302D">
        <w:rPr>
          <w:rFonts w:ascii="Times New Roman" w:eastAsia="Times New Roman" w:hAnsi="Times New Roman" w:cs="Times New Roman"/>
          <w:color w:val="000000" w:themeColor="text1"/>
          <w:sz w:val="24"/>
          <w:szCs w:val="24"/>
        </w:rPr>
        <w:t xml:space="preserve"> </w:t>
      </w:r>
      <w:r w:rsidRPr="007C302D">
        <w:rPr>
          <w:rFonts w:ascii="Times New Roman" w:eastAsia="Times New Roman" w:hAnsi="Times New Roman" w:cs="Times New Roman"/>
          <w:color w:val="000000" w:themeColor="text1"/>
          <w:sz w:val="24"/>
          <w:szCs w:val="24"/>
        </w:rPr>
        <w:t xml:space="preserve">compensation laws. Id. </w:t>
      </w:r>
    </w:p>
    <w:p w:rsidR="0087520D" w:rsidRPr="007C302D" w:rsidRDefault="0087520D" w:rsidP="00320E36">
      <w:pPr>
        <w:spacing w:before="48" w:after="120" w:line="240" w:lineRule="auto"/>
        <w:ind w:left="720"/>
        <w:rPr>
          <w:rFonts w:ascii="Times New Roman" w:eastAsia="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t xml:space="preserve">10 years after </w:t>
      </w:r>
      <w:r w:rsidRPr="007C302D">
        <w:rPr>
          <w:rFonts w:ascii="Times New Roman" w:eastAsia="Times New Roman" w:hAnsi="Times New Roman" w:cs="Times New Roman"/>
          <w:color w:val="000000" w:themeColor="text1"/>
          <w:sz w:val="24"/>
          <w:szCs w:val="24"/>
          <w:u w:val="single"/>
        </w:rPr>
        <w:t>Wicken</w:t>
      </w:r>
      <w:r w:rsidRPr="007C302D">
        <w:rPr>
          <w:rFonts w:ascii="Times New Roman" w:eastAsia="Times New Roman" w:hAnsi="Times New Roman" w:cs="Times New Roman"/>
          <w:color w:val="000000" w:themeColor="text1"/>
          <w:sz w:val="24"/>
          <w:szCs w:val="24"/>
        </w:rPr>
        <w:t xml:space="preserve">, following the tragic heat stroke death of Minnesota Viking Cory Stringer, the court again addressed the meaning of the personal duty rule, this time in the context of a suit against the trainers who ministered to Stringer on the day of his death. </w:t>
      </w:r>
      <w:r w:rsidRPr="007C302D">
        <w:rPr>
          <w:rFonts w:ascii="Times New Roman" w:eastAsia="Times New Roman" w:hAnsi="Times New Roman" w:cs="Times New Roman"/>
          <w:color w:val="000000" w:themeColor="text1"/>
          <w:sz w:val="24"/>
          <w:szCs w:val="24"/>
          <w:u w:val="single"/>
        </w:rPr>
        <w:t>Stringer v. Minnesota Vikings Football Club, LLC.</w:t>
      </w:r>
      <w:r w:rsidRPr="007C302D">
        <w:rPr>
          <w:rFonts w:ascii="Times New Roman" w:eastAsia="Times New Roman" w:hAnsi="Times New Roman" w:cs="Times New Roman"/>
          <w:color w:val="000000" w:themeColor="text1"/>
          <w:sz w:val="24"/>
          <w:szCs w:val="24"/>
        </w:rPr>
        <w:t xml:space="preserve">, 705 N.W.2d 746 (2005). </w:t>
      </w:r>
      <w:r w:rsidR="0082673D" w:rsidRPr="007C302D">
        <w:rPr>
          <w:rFonts w:ascii="Times New Roman" w:eastAsia="Times New Roman" w:hAnsi="Times New Roman" w:cs="Times New Roman"/>
          <w:color w:val="000000" w:themeColor="text1"/>
          <w:sz w:val="24"/>
          <w:szCs w:val="24"/>
        </w:rPr>
        <w:t>The plaintiff asserted that direct personal actions one employee takes with respect to another employee would satisfy the personal duty test. The respondents argued that a person</w:t>
      </w:r>
      <w:r w:rsidR="00F950C7">
        <w:rPr>
          <w:rFonts w:ascii="Times New Roman" w:eastAsia="Times New Roman" w:hAnsi="Times New Roman" w:cs="Times New Roman"/>
          <w:color w:val="000000" w:themeColor="text1"/>
          <w:sz w:val="24"/>
          <w:szCs w:val="24"/>
        </w:rPr>
        <w:t>al</w:t>
      </w:r>
      <w:r w:rsidR="0082673D" w:rsidRPr="007C302D">
        <w:rPr>
          <w:rFonts w:ascii="Times New Roman" w:eastAsia="Times New Roman" w:hAnsi="Times New Roman" w:cs="Times New Roman"/>
          <w:color w:val="000000" w:themeColor="text1"/>
          <w:sz w:val="24"/>
          <w:szCs w:val="24"/>
        </w:rPr>
        <w:t xml:space="preserve"> duty exists only where the co-employee departs from his employment responsibilities and voluntarily assumes additional duties that put another at risk.  Id. at 757. Instead, the court adopted a 2 part personal duty test: “the co-employee </w:t>
      </w:r>
      <w:r w:rsidR="0082673D" w:rsidRPr="007C302D">
        <w:rPr>
          <w:rFonts w:ascii="Times New Roman" w:eastAsia="Times New Roman" w:hAnsi="Times New Roman" w:cs="Times New Roman"/>
          <w:color w:val="000000" w:themeColor="text1"/>
          <w:sz w:val="24"/>
          <w:szCs w:val="24"/>
        </w:rPr>
        <w:lastRenderedPageBreak/>
        <w:t xml:space="preserve">must have (1) taken direct action toward or have directed another to have taken direct action toward the injured employee, and (2) acted outside the course and scope of employment.” Id. </w:t>
      </w:r>
      <w:r w:rsidR="00630BA4" w:rsidRPr="007C302D">
        <w:rPr>
          <w:rFonts w:ascii="Times New Roman" w:eastAsia="Times New Roman" w:hAnsi="Times New Roman" w:cs="Times New Roman"/>
          <w:color w:val="000000" w:themeColor="text1"/>
          <w:sz w:val="24"/>
          <w:szCs w:val="24"/>
        </w:rPr>
        <w:t xml:space="preserve">(citations omitted). </w:t>
      </w:r>
    </w:p>
    <w:p w:rsidR="00630BA4" w:rsidRDefault="00630BA4" w:rsidP="00661E10">
      <w:pPr>
        <w:spacing w:after="0" w:line="240" w:lineRule="auto"/>
        <w:ind w:left="720"/>
        <w:rPr>
          <w:rFonts w:ascii="Times New Roman" w:eastAsia="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t xml:space="preserve">As the dissent in </w:t>
      </w:r>
      <w:r w:rsidRPr="007C302D">
        <w:rPr>
          <w:rFonts w:ascii="Times New Roman" w:eastAsia="Times New Roman" w:hAnsi="Times New Roman" w:cs="Times New Roman"/>
          <w:color w:val="000000" w:themeColor="text1"/>
          <w:sz w:val="24"/>
          <w:szCs w:val="24"/>
          <w:u w:val="single"/>
        </w:rPr>
        <w:t>Stringer</w:t>
      </w:r>
      <w:r w:rsidRPr="007C302D">
        <w:rPr>
          <w:rFonts w:ascii="Times New Roman" w:eastAsia="Times New Roman" w:hAnsi="Times New Roman" w:cs="Times New Roman"/>
          <w:color w:val="000000" w:themeColor="text1"/>
          <w:sz w:val="24"/>
          <w:szCs w:val="24"/>
        </w:rPr>
        <w:t xml:space="preserve"> points out, there are no cases establishing the standard for gross negligence for co-employee liability under the workers’ compensation act. Justice Hanson rejects the concept that to prove gross negligence under the compensation act, a plaintiff would have to prove the tougher standard of “want of even scant care” used in the context of criminal cases, and says that it should be described as “negligence of a high degree, great negligence, [or] more than ordinary negligence but less than wanton and willful conduct.” Id at 768. Under Justice Hanson’s standard a fact issue on gross negligence would have existed. Neither the majority in </w:t>
      </w:r>
      <w:r w:rsidRPr="007C302D">
        <w:rPr>
          <w:rFonts w:ascii="Times New Roman" w:eastAsia="Times New Roman" w:hAnsi="Times New Roman" w:cs="Times New Roman"/>
          <w:color w:val="000000" w:themeColor="text1"/>
          <w:sz w:val="24"/>
          <w:szCs w:val="24"/>
          <w:u w:val="single"/>
        </w:rPr>
        <w:t>Stringer</w:t>
      </w:r>
      <w:r w:rsidRPr="007C302D">
        <w:rPr>
          <w:rFonts w:ascii="Times New Roman" w:eastAsia="Times New Roman" w:hAnsi="Times New Roman" w:cs="Times New Roman"/>
          <w:color w:val="000000" w:themeColor="text1"/>
          <w:sz w:val="24"/>
          <w:szCs w:val="24"/>
        </w:rPr>
        <w:t xml:space="preserve"> nor </w:t>
      </w:r>
      <w:r w:rsidRPr="007C302D">
        <w:rPr>
          <w:rFonts w:ascii="Times New Roman" w:eastAsia="Times New Roman" w:hAnsi="Times New Roman" w:cs="Times New Roman"/>
          <w:color w:val="000000" w:themeColor="text1"/>
          <w:sz w:val="24"/>
          <w:szCs w:val="24"/>
          <w:u w:val="single"/>
        </w:rPr>
        <w:t xml:space="preserve">Wicken </w:t>
      </w:r>
      <w:r w:rsidRPr="007C302D">
        <w:rPr>
          <w:rFonts w:ascii="Times New Roman" w:eastAsia="Times New Roman" w:hAnsi="Times New Roman" w:cs="Times New Roman"/>
          <w:color w:val="000000" w:themeColor="text1"/>
          <w:sz w:val="24"/>
          <w:szCs w:val="24"/>
        </w:rPr>
        <w:t xml:space="preserve">reached the issue. </w:t>
      </w:r>
    </w:p>
    <w:p w:rsidR="0013042E" w:rsidRDefault="0013042E" w:rsidP="0013042E">
      <w:pPr>
        <w:spacing w:after="0" w:line="300" w:lineRule="atLeast"/>
        <w:ind w:left="720" w:firstLine="720"/>
        <w:rPr>
          <w:rFonts w:ascii="Times New Roman" w:eastAsia="Times New Roman" w:hAnsi="Times New Roman" w:cs="Times New Roman"/>
          <w:color w:val="000000" w:themeColor="text1"/>
          <w:sz w:val="24"/>
          <w:szCs w:val="24"/>
        </w:rPr>
      </w:pPr>
    </w:p>
    <w:p w:rsidR="00777804" w:rsidRDefault="00777804" w:rsidP="0013042E">
      <w:pPr>
        <w:spacing w:after="0" w:line="300" w:lineRule="atLeast"/>
        <w:ind w:left="720" w:firstLine="720"/>
        <w:rPr>
          <w:rFonts w:ascii="Times New Roman" w:eastAsia="Times New Roman" w:hAnsi="Times New Roman" w:cs="Times New Roman"/>
          <w:color w:val="000000" w:themeColor="text1"/>
          <w:sz w:val="24"/>
          <w:szCs w:val="24"/>
        </w:rPr>
      </w:pPr>
    </w:p>
    <w:p w:rsidR="00777804" w:rsidRDefault="00777804" w:rsidP="0013042E">
      <w:pPr>
        <w:spacing w:after="0" w:line="300" w:lineRule="atLeast"/>
        <w:ind w:left="720" w:firstLine="720"/>
        <w:rPr>
          <w:rFonts w:ascii="Times New Roman" w:eastAsia="Times New Roman" w:hAnsi="Times New Roman" w:cs="Times New Roman"/>
          <w:color w:val="000000" w:themeColor="text1"/>
          <w:sz w:val="24"/>
          <w:szCs w:val="24"/>
        </w:rPr>
      </w:pPr>
    </w:p>
    <w:p w:rsidR="007B335B" w:rsidRPr="00777804" w:rsidRDefault="007B335B" w:rsidP="0013042E">
      <w:pPr>
        <w:pStyle w:val="ListParagraph"/>
        <w:numPr>
          <w:ilvl w:val="0"/>
          <w:numId w:val="8"/>
        </w:numPr>
        <w:spacing w:after="0" w:line="240" w:lineRule="auto"/>
        <w:ind w:left="1440" w:hanging="720"/>
        <w:rPr>
          <w:rFonts w:ascii="Times New Roman" w:eastAsia="Times New Roman" w:hAnsi="Times New Roman" w:cs="Times New Roman"/>
          <w:color w:val="000000" w:themeColor="text1"/>
          <w:sz w:val="24"/>
          <w:szCs w:val="24"/>
        </w:rPr>
      </w:pPr>
      <w:r w:rsidRPr="00777804">
        <w:rPr>
          <w:rFonts w:ascii="Times New Roman" w:eastAsia="Times New Roman" w:hAnsi="Times New Roman" w:cs="Times New Roman"/>
          <w:color w:val="000000" w:themeColor="text1"/>
          <w:sz w:val="24"/>
          <w:szCs w:val="24"/>
        </w:rPr>
        <w:t xml:space="preserve">Employers </w:t>
      </w:r>
      <w:r w:rsidR="000D49A5" w:rsidRPr="00777804">
        <w:rPr>
          <w:rFonts w:ascii="Times New Roman" w:eastAsia="Times New Roman" w:hAnsi="Times New Roman" w:cs="Times New Roman"/>
          <w:color w:val="000000" w:themeColor="text1"/>
          <w:sz w:val="24"/>
          <w:szCs w:val="24"/>
        </w:rPr>
        <w:t>W</w:t>
      </w:r>
      <w:r w:rsidRPr="00777804">
        <w:rPr>
          <w:rFonts w:ascii="Times New Roman" w:eastAsia="Times New Roman" w:hAnsi="Times New Roman" w:cs="Times New Roman"/>
          <w:color w:val="000000" w:themeColor="text1"/>
          <w:sz w:val="24"/>
          <w:szCs w:val="24"/>
        </w:rPr>
        <w:t xml:space="preserve">ho are </w:t>
      </w:r>
      <w:r w:rsidR="00AA6CF4" w:rsidRPr="00777804">
        <w:rPr>
          <w:rFonts w:ascii="Times New Roman" w:eastAsia="Times New Roman" w:hAnsi="Times New Roman" w:cs="Times New Roman"/>
          <w:color w:val="000000" w:themeColor="text1"/>
          <w:sz w:val="24"/>
          <w:szCs w:val="24"/>
        </w:rPr>
        <w:t>N</w:t>
      </w:r>
      <w:r w:rsidRPr="00777804">
        <w:rPr>
          <w:rFonts w:ascii="Times New Roman" w:eastAsia="Times New Roman" w:hAnsi="Times New Roman" w:cs="Times New Roman"/>
          <w:color w:val="000000" w:themeColor="text1"/>
          <w:sz w:val="24"/>
          <w:szCs w:val="24"/>
        </w:rPr>
        <w:t xml:space="preserve">egligent and </w:t>
      </w:r>
      <w:r w:rsidR="00AA6CF4" w:rsidRPr="00777804">
        <w:rPr>
          <w:rFonts w:ascii="Times New Roman" w:eastAsia="Times New Roman" w:hAnsi="Times New Roman" w:cs="Times New Roman"/>
          <w:color w:val="000000" w:themeColor="text1"/>
          <w:sz w:val="24"/>
          <w:szCs w:val="24"/>
        </w:rPr>
        <w:t>O</w:t>
      </w:r>
      <w:r w:rsidRPr="00777804">
        <w:rPr>
          <w:rFonts w:ascii="Times New Roman" w:eastAsia="Times New Roman" w:hAnsi="Times New Roman" w:cs="Times New Roman"/>
          <w:color w:val="000000" w:themeColor="text1"/>
          <w:sz w:val="24"/>
          <w:szCs w:val="24"/>
        </w:rPr>
        <w:t xml:space="preserve">we </w:t>
      </w:r>
      <w:r w:rsidR="00AA6CF4" w:rsidRPr="00777804">
        <w:rPr>
          <w:rFonts w:ascii="Times New Roman" w:eastAsia="Times New Roman" w:hAnsi="Times New Roman" w:cs="Times New Roman"/>
          <w:color w:val="000000" w:themeColor="text1"/>
          <w:sz w:val="24"/>
          <w:szCs w:val="24"/>
        </w:rPr>
        <w:t>C</w:t>
      </w:r>
      <w:r w:rsidRPr="00777804">
        <w:rPr>
          <w:rFonts w:ascii="Times New Roman" w:eastAsia="Times New Roman" w:hAnsi="Times New Roman" w:cs="Times New Roman"/>
          <w:color w:val="000000" w:themeColor="text1"/>
          <w:sz w:val="24"/>
          <w:szCs w:val="24"/>
        </w:rPr>
        <w:t xml:space="preserve">ontribution to a </w:t>
      </w:r>
      <w:r w:rsidR="00AA6CF4" w:rsidRPr="00777804">
        <w:rPr>
          <w:rFonts w:ascii="Times New Roman" w:eastAsia="Times New Roman" w:hAnsi="Times New Roman" w:cs="Times New Roman"/>
          <w:color w:val="000000" w:themeColor="text1"/>
          <w:sz w:val="24"/>
          <w:szCs w:val="24"/>
        </w:rPr>
        <w:t>T</w:t>
      </w:r>
      <w:r w:rsidRPr="00777804">
        <w:rPr>
          <w:rFonts w:ascii="Times New Roman" w:eastAsia="Times New Roman" w:hAnsi="Times New Roman" w:cs="Times New Roman"/>
          <w:color w:val="000000" w:themeColor="text1"/>
          <w:sz w:val="24"/>
          <w:szCs w:val="24"/>
        </w:rPr>
        <w:t xml:space="preserve">hird </w:t>
      </w:r>
      <w:r w:rsidR="00AA6CF4" w:rsidRPr="00777804">
        <w:rPr>
          <w:rFonts w:ascii="Times New Roman" w:eastAsia="Times New Roman" w:hAnsi="Times New Roman" w:cs="Times New Roman"/>
          <w:color w:val="000000" w:themeColor="text1"/>
          <w:sz w:val="24"/>
          <w:szCs w:val="24"/>
        </w:rPr>
        <w:t>P</w:t>
      </w:r>
      <w:r w:rsidRPr="00777804">
        <w:rPr>
          <w:rFonts w:ascii="Times New Roman" w:eastAsia="Times New Roman" w:hAnsi="Times New Roman" w:cs="Times New Roman"/>
          <w:color w:val="000000" w:themeColor="text1"/>
          <w:sz w:val="24"/>
          <w:szCs w:val="24"/>
        </w:rPr>
        <w:t xml:space="preserve">arty </w:t>
      </w:r>
      <w:r w:rsidR="00AA6CF4" w:rsidRPr="00777804">
        <w:rPr>
          <w:rFonts w:ascii="Times New Roman" w:eastAsia="Times New Roman" w:hAnsi="Times New Roman" w:cs="Times New Roman"/>
          <w:color w:val="000000" w:themeColor="text1"/>
          <w:sz w:val="24"/>
          <w:szCs w:val="24"/>
        </w:rPr>
        <w:t>T</w:t>
      </w:r>
      <w:r w:rsidRPr="00777804">
        <w:rPr>
          <w:rFonts w:ascii="Times New Roman" w:eastAsia="Times New Roman" w:hAnsi="Times New Roman" w:cs="Times New Roman"/>
          <w:color w:val="000000" w:themeColor="text1"/>
          <w:sz w:val="24"/>
          <w:szCs w:val="24"/>
        </w:rPr>
        <w:t>ortfeasor.</w:t>
      </w:r>
    </w:p>
    <w:p w:rsidR="00A4131B" w:rsidRPr="006566A3" w:rsidRDefault="00A4131B" w:rsidP="00A4131B">
      <w:pPr>
        <w:pStyle w:val="ListParagraph"/>
        <w:spacing w:after="0" w:line="240" w:lineRule="auto"/>
        <w:ind w:left="1440"/>
        <w:rPr>
          <w:rFonts w:ascii="Times New Roman" w:eastAsia="Times New Roman" w:hAnsi="Times New Roman" w:cs="Times New Roman"/>
          <w:b/>
          <w:color w:val="000000" w:themeColor="text1"/>
          <w:sz w:val="24"/>
          <w:szCs w:val="24"/>
        </w:rPr>
      </w:pPr>
    </w:p>
    <w:p w:rsidR="005F7E79" w:rsidRPr="007C302D" w:rsidRDefault="005F7E79" w:rsidP="00661E10">
      <w:pPr>
        <w:spacing w:after="0" w:line="240" w:lineRule="auto"/>
        <w:ind w:left="720"/>
        <w:rPr>
          <w:rFonts w:ascii="Times New Roman" w:eastAsia="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t>Mi</w:t>
      </w:r>
      <w:r w:rsidR="00E6175F" w:rsidRPr="007C302D">
        <w:rPr>
          <w:rFonts w:ascii="Times New Roman" w:eastAsia="Times New Roman" w:hAnsi="Times New Roman" w:cs="Times New Roman"/>
          <w:color w:val="000000" w:themeColor="text1"/>
          <w:sz w:val="24"/>
          <w:szCs w:val="24"/>
        </w:rPr>
        <w:t xml:space="preserve">nn. Stat. Section 176.061, subd. 5 allows an employee who’s injury arose out of and in the course of their employment to sue a negligent or otherwise at fault party, so long as the at fault party is a third party to the employment relationship. The same section allows the employer to assert a subrogation or indemnification claim against the third party tortfeasor, and to recover the increased cost of worker’s compensation coverage caused by the injury to the employee, thereby allowing the employer, in theory, to be made whole if the accident was wholly the fault of the third party. Prior to the Supreme Court’s decision in </w:t>
      </w:r>
      <w:r w:rsidR="00E6175F" w:rsidRPr="007C302D">
        <w:rPr>
          <w:rFonts w:ascii="Times New Roman" w:eastAsia="Times New Roman" w:hAnsi="Times New Roman" w:cs="Times New Roman"/>
          <w:color w:val="000000" w:themeColor="text1"/>
          <w:sz w:val="24"/>
          <w:szCs w:val="24"/>
          <w:u w:val="single"/>
        </w:rPr>
        <w:t>Lambertson v. Cincinnati Corp</w:t>
      </w:r>
      <w:r w:rsidR="00D07CBE">
        <w:rPr>
          <w:rFonts w:ascii="Times New Roman" w:eastAsia="Times New Roman" w:hAnsi="Times New Roman" w:cs="Times New Roman"/>
          <w:color w:val="000000" w:themeColor="text1"/>
          <w:sz w:val="24"/>
          <w:szCs w:val="24"/>
        </w:rPr>
        <w:t>., 257 N.W.2</w:t>
      </w:r>
      <w:r w:rsidR="00D07CBE" w:rsidRPr="00D07CBE">
        <w:rPr>
          <w:rFonts w:ascii="Times New Roman" w:eastAsia="Times New Roman" w:hAnsi="Times New Roman" w:cs="Times New Roman"/>
          <w:color w:val="000000" w:themeColor="text1"/>
          <w:sz w:val="24"/>
          <w:szCs w:val="24"/>
          <w:vertAlign w:val="superscript"/>
        </w:rPr>
        <w:t>nd</w:t>
      </w:r>
      <w:r w:rsidR="00D07CBE">
        <w:rPr>
          <w:rFonts w:ascii="Times New Roman" w:eastAsia="Times New Roman" w:hAnsi="Times New Roman" w:cs="Times New Roman"/>
          <w:color w:val="000000" w:themeColor="text1"/>
          <w:sz w:val="24"/>
          <w:szCs w:val="24"/>
        </w:rPr>
        <w:t xml:space="preserve"> 679 (Minn. 1977)</w:t>
      </w:r>
      <w:r w:rsidR="00E6175F" w:rsidRPr="007C302D">
        <w:rPr>
          <w:rFonts w:ascii="Times New Roman" w:eastAsia="Times New Roman" w:hAnsi="Times New Roman" w:cs="Times New Roman"/>
          <w:color w:val="000000" w:themeColor="text1"/>
          <w:sz w:val="24"/>
          <w:szCs w:val="24"/>
        </w:rPr>
        <w:t xml:space="preserve">, the common law rules of contribution and the workers’ compensation bar worked to shield an at fault employer from claims that the employers fault contributed to the injury.  </w:t>
      </w:r>
      <w:r w:rsidR="00E6175F" w:rsidRPr="007C302D">
        <w:rPr>
          <w:rFonts w:ascii="Times New Roman" w:eastAsia="Times New Roman" w:hAnsi="Times New Roman" w:cs="Times New Roman"/>
          <w:color w:val="000000" w:themeColor="text1"/>
          <w:sz w:val="24"/>
          <w:szCs w:val="24"/>
          <w:u w:val="single"/>
        </w:rPr>
        <w:t>Lambertson</w:t>
      </w:r>
      <w:r w:rsidR="00E6175F" w:rsidRPr="007C302D">
        <w:rPr>
          <w:rFonts w:ascii="Times New Roman" w:eastAsia="Times New Roman" w:hAnsi="Times New Roman" w:cs="Times New Roman"/>
          <w:color w:val="000000" w:themeColor="text1"/>
          <w:sz w:val="24"/>
          <w:szCs w:val="24"/>
        </w:rPr>
        <w:t xml:space="preserve"> held that a third party tortfeasor was entitled to assert a claim of equitable contribution measured by </w:t>
      </w:r>
      <w:r w:rsidR="00E6175F" w:rsidRPr="007C302D">
        <w:rPr>
          <w:rFonts w:ascii="Times New Roman" w:eastAsia="Times New Roman" w:hAnsi="Times New Roman" w:cs="Times New Roman"/>
          <w:color w:val="000000" w:themeColor="text1"/>
          <w:sz w:val="24"/>
          <w:szCs w:val="24"/>
        </w:rPr>
        <w:lastRenderedPageBreak/>
        <w:t xml:space="preserve">the lessor of the employer’s percentage of fault or the amount of workers’ compensation benefits paid or payable. </w:t>
      </w:r>
      <w:r w:rsidR="00A4131B">
        <w:rPr>
          <w:rFonts w:ascii="Times New Roman" w:eastAsia="Times New Roman" w:hAnsi="Times New Roman" w:cs="Times New Roman"/>
          <w:color w:val="000000" w:themeColor="text1"/>
          <w:sz w:val="24"/>
          <w:szCs w:val="24"/>
        </w:rPr>
        <w:t xml:space="preserve"> </w:t>
      </w:r>
      <w:r w:rsidR="00E6175F" w:rsidRPr="007C302D">
        <w:rPr>
          <w:rFonts w:ascii="Times New Roman" w:eastAsia="Times New Roman" w:hAnsi="Times New Roman" w:cs="Times New Roman"/>
          <w:color w:val="000000" w:themeColor="text1"/>
          <w:sz w:val="24"/>
          <w:szCs w:val="24"/>
        </w:rPr>
        <w:t xml:space="preserve">In this way, the employer, in theory, still never paid more than </w:t>
      </w:r>
      <w:r w:rsidR="00B95408" w:rsidRPr="007C302D">
        <w:rPr>
          <w:rFonts w:ascii="Times New Roman" w:eastAsia="Times New Roman" w:hAnsi="Times New Roman" w:cs="Times New Roman"/>
          <w:color w:val="000000" w:themeColor="text1"/>
          <w:sz w:val="24"/>
          <w:szCs w:val="24"/>
        </w:rPr>
        <w:t xml:space="preserve">its workers’ compensation liability, and the third party tortfeasor had an opportunity to mitigate its exposure. </w:t>
      </w:r>
      <w:r w:rsidR="00A4131B">
        <w:rPr>
          <w:rFonts w:ascii="Times New Roman" w:eastAsia="Times New Roman" w:hAnsi="Times New Roman" w:cs="Times New Roman"/>
          <w:color w:val="000000" w:themeColor="text1"/>
          <w:sz w:val="24"/>
          <w:szCs w:val="24"/>
        </w:rPr>
        <w:t xml:space="preserve"> </w:t>
      </w:r>
      <w:r w:rsidR="00B95408" w:rsidRPr="007C302D">
        <w:rPr>
          <w:rFonts w:ascii="Times New Roman" w:eastAsia="Times New Roman" w:hAnsi="Times New Roman" w:cs="Times New Roman"/>
          <w:color w:val="000000" w:themeColor="text1"/>
          <w:sz w:val="24"/>
          <w:szCs w:val="24"/>
        </w:rPr>
        <w:t xml:space="preserve">In practice, however, there were disputes regarding how workers’ compensation payments aligned with common law tort damages, and the operation of the distribution formula at Minn. Stat. Sec. 176.061 resulted in the employer funding the employee’s cost of recovery (attorneys fees and costs attributable to the subrogation amount) but still being potential liable to the third party tortfeasor for the full amount paid and payable. </w:t>
      </w:r>
      <w:r w:rsidR="00A4131B">
        <w:rPr>
          <w:rFonts w:ascii="Times New Roman" w:eastAsia="Times New Roman" w:hAnsi="Times New Roman" w:cs="Times New Roman"/>
          <w:color w:val="000000" w:themeColor="text1"/>
          <w:sz w:val="24"/>
          <w:szCs w:val="24"/>
        </w:rPr>
        <w:t xml:space="preserve"> </w:t>
      </w:r>
      <w:r w:rsidR="00B95408" w:rsidRPr="007C302D">
        <w:rPr>
          <w:rFonts w:ascii="Times New Roman" w:eastAsia="Times New Roman" w:hAnsi="Times New Roman" w:cs="Times New Roman"/>
          <w:color w:val="000000" w:themeColor="text1"/>
          <w:sz w:val="24"/>
          <w:szCs w:val="24"/>
        </w:rPr>
        <w:t xml:space="preserve">Additionally, an employer with significant fault would be forced to assume significant costs of defense and impositions on its employee’s and management with no potential recovery. </w:t>
      </w:r>
    </w:p>
    <w:p w:rsidR="00996C95" w:rsidRDefault="00B95408" w:rsidP="00996C95">
      <w:pPr>
        <w:spacing w:after="0" w:line="240" w:lineRule="auto"/>
        <w:ind w:left="480"/>
        <w:rPr>
          <w:rFonts w:ascii="Times New Roman" w:eastAsia="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tab/>
      </w:r>
    </w:p>
    <w:p w:rsidR="00B95408" w:rsidRDefault="00B95408" w:rsidP="00661E10">
      <w:pPr>
        <w:spacing w:after="0" w:line="240" w:lineRule="auto"/>
        <w:ind w:left="720"/>
        <w:rPr>
          <w:rFonts w:ascii="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t xml:space="preserve">In 2000, the legislature made significant changes to the Minn. Stat. Sec. 176.061 which in large part have eliminated those issues. </w:t>
      </w:r>
      <w:r w:rsidR="00607BFC">
        <w:rPr>
          <w:rFonts w:ascii="Times New Roman" w:eastAsia="Times New Roman" w:hAnsi="Times New Roman" w:cs="Times New Roman"/>
          <w:color w:val="000000" w:themeColor="text1"/>
          <w:sz w:val="24"/>
          <w:szCs w:val="24"/>
        </w:rPr>
        <w:t xml:space="preserve"> </w:t>
      </w:r>
      <w:r w:rsidRPr="007C302D">
        <w:rPr>
          <w:rFonts w:ascii="Times New Roman" w:eastAsia="Times New Roman" w:hAnsi="Times New Roman" w:cs="Times New Roman"/>
          <w:color w:val="000000" w:themeColor="text1"/>
          <w:sz w:val="24"/>
          <w:szCs w:val="24"/>
        </w:rPr>
        <w:t>First, Subd. 5b was amended to clarify that the employers</w:t>
      </w:r>
      <w:r w:rsidR="00607BFC">
        <w:rPr>
          <w:rFonts w:ascii="Times New Roman" w:eastAsia="Times New Roman" w:hAnsi="Times New Roman" w:cs="Times New Roman"/>
          <w:color w:val="000000" w:themeColor="text1"/>
          <w:sz w:val="24"/>
          <w:szCs w:val="24"/>
        </w:rPr>
        <w:t>’</w:t>
      </w:r>
      <w:r w:rsidRPr="007C302D">
        <w:rPr>
          <w:rFonts w:ascii="Times New Roman" w:eastAsia="Times New Roman" w:hAnsi="Times New Roman" w:cs="Times New Roman"/>
          <w:color w:val="000000" w:themeColor="text1"/>
          <w:sz w:val="24"/>
          <w:szCs w:val="24"/>
        </w:rPr>
        <w:t xml:space="preserve"> subrogation rights included</w:t>
      </w:r>
      <w:r w:rsidR="00424425" w:rsidRPr="007C302D">
        <w:rPr>
          <w:rFonts w:ascii="Times New Roman" w:eastAsia="Times New Roman" w:hAnsi="Times New Roman" w:cs="Times New Roman"/>
          <w:color w:val="000000" w:themeColor="text1"/>
          <w:sz w:val="24"/>
          <w:szCs w:val="24"/>
        </w:rPr>
        <w:t xml:space="preserve"> all benefits paid and payable</w:t>
      </w:r>
      <w:r w:rsidRPr="007C302D">
        <w:rPr>
          <w:rFonts w:ascii="Times New Roman" w:eastAsia="Times New Roman" w:hAnsi="Times New Roman" w:cs="Times New Roman"/>
          <w:color w:val="000000" w:themeColor="text1"/>
          <w:sz w:val="24"/>
          <w:szCs w:val="24"/>
        </w:rPr>
        <w:t xml:space="preserve"> “</w:t>
      </w:r>
      <w:r w:rsidRPr="007C302D">
        <w:rPr>
          <w:rFonts w:ascii="Times New Roman" w:hAnsi="Times New Roman" w:cs="Times New Roman"/>
          <w:color w:val="000000" w:themeColor="text1"/>
          <w:sz w:val="24"/>
          <w:szCs w:val="24"/>
        </w:rPr>
        <w:t>regardless of whether such benefits are recoverable by the employee or the employee's dependents at common law or by statute</w:t>
      </w:r>
      <w:r w:rsidR="00424425" w:rsidRPr="007C302D">
        <w:rPr>
          <w:rFonts w:ascii="Times New Roman" w:hAnsi="Times New Roman" w:cs="Times New Roman"/>
          <w:color w:val="000000" w:themeColor="text1"/>
          <w:sz w:val="24"/>
          <w:szCs w:val="24"/>
        </w:rPr>
        <w:t xml:space="preserve">.”  The remaining problems were solved by a new section, Minn. Stat. Sec. 176.11 which limited the tortfeasor’s “lambertson contribution” right to the amount recoverable by the employer under the 176.061, subd. 6 formula, and by giving an at fault employer the option to waive its right to subrogation in exchange for a </w:t>
      </w:r>
      <w:r w:rsidR="004330B1" w:rsidRPr="007C302D">
        <w:rPr>
          <w:rFonts w:ascii="Times New Roman" w:hAnsi="Times New Roman" w:cs="Times New Roman"/>
          <w:color w:val="000000" w:themeColor="text1"/>
          <w:sz w:val="24"/>
          <w:szCs w:val="24"/>
        </w:rPr>
        <w:t xml:space="preserve">dismissal of the third party tortfeasor’s contribution claim.  The statute then provides a mechanism for the damages assessed by the jury to be reduced by the amounts that are duplicative of those paid by workers’ compensation. </w:t>
      </w:r>
    </w:p>
    <w:p w:rsidR="00607BFC" w:rsidRPr="007C302D" w:rsidRDefault="00607BFC" w:rsidP="00996C95">
      <w:pPr>
        <w:spacing w:after="0" w:line="240" w:lineRule="auto"/>
        <w:ind w:firstLine="720"/>
        <w:rPr>
          <w:rFonts w:ascii="Times New Roman" w:hAnsi="Times New Roman" w:cs="Times New Roman"/>
          <w:color w:val="000000" w:themeColor="text1"/>
          <w:sz w:val="24"/>
          <w:szCs w:val="24"/>
        </w:rPr>
      </w:pPr>
    </w:p>
    <w:p w:rsidR="004330B1" w:rsidRPr="007C302D" w:rsidRDefault="004330B1" w:rsidP="00661E10">
      <w:pPr>
        <w:spacing w:after="0" w:line="240" w:lineRule="auto"/>
        <w:ind w:left="720"/>
        <w:rPr>
          <w:rFonts w:ascii="Times New Roman" w:hAnsi="Times New Roman" w:cs="Times New Roman"/>
          <w:color w:val="000000" w:themeColor="text1"/>
          <w:sz w:val="24"/>
          <w:szCs w:val="24"/>
        </w:rPr>
      </w:pPr>
      <w:r w:rsidRPr="007C302D">
        <w:rPr>
          <w:rFonts w:ascii="Times New Roman" w:hAnsi="Times New Roman" w:cs="Times New Roman"/>
          <w:color w:val="000000" w:themeColor="text1"/>
          <w:sz w:val="24"/>
          <w:szCs w:val="24"/>
        </w:rPr>
        <w:t xml:space="preserve">An open question is how a contractual indemnification agreement between the at fault employer and the third party tortfeasor would apply, especially where the employer’s fault exceeds the amount of worker’s compensation benefits paid, or where the employer has agreed to indemnify the third party tortfeasor for all damages </w:t>
      </w:r>
      <w:r w:rsidRPr="007C302D">
        <w:rPr>
          <w:rFonts w:ascii="Times New Roman" w:hAnsi="Times New Roman" w:cs="Times New Roman"/>
          <w:color w:val="000000" w:themeColor="text1"/>
          <w:sz w:val="24"/>
          <w:szCs w:val="24"/>
        </w:rPr>
        <w:lastRenderedPageBreak/>
        <w:t xml:space="preserve">arising out of the subject matter of the agreement. </w:t>
      </w:r>
      <w:r w:rsidR="00064EBE" w:rsidRPr="007C302D">
        <w:rPr>
          <w:rFonts w:ascii="Times New Roman" w:hAnsi="Times New Roman" w:cs="Times New Roman"/>
          <w:color w:val="000000" w:themeColor="text1"/>
          <w:sz w:val="24"/>
          <w:szCs w:val="24"/>
        </w:rPr>
        <w:t>Nothing in the statute appears to prohibit such contractual indemnification agreements, and if they are otherwise enforceable, it seems that the third party tortfeasor should be entitled to recover under whichever theory provides it with the greatest recovery. The effect of a waive and walk election under 176.061 subd.</w:t>
      </w:r>
      <w:r w:rsidR="003651F7">
        <w:rPr>
          <w:rFonts w:ascii="Times New Roman" w:hAnsi="Times New Roman" w:cs="Times New Roman"/>
          <w:color w:val="000000" w:themeColor="text1"/>
          <w:sz w:val="24"/>
          <w:szCs w:val="24"/>
        </w:rPr>
        <w:t xml:space="preserve"> 1</w:t>
      </w:r>
      <w:r w:rsidR="00064EBE" w:rsidRPr="007C302D">
        <w:rPr>
          <w:rFonts w:ascii="Times New Roman" w:hAnsi="Times New Roman" w:cs="Times New Roman"/>
          <w:color w:val="000000" w:themeColor="text1"/>
          <w:sz w:val="24"/>
          <w:szCs w:val="24"/>
        </w:rPr>
        <w:t xml:space="preserve">1 is also undecided in these circumstances. </w:t>
      </w:r>
    </w:p>
    <w:p w:rsidR="00CB4511" w:rsidRDefault="00064EBE" w:rsidP="00661E10">
      <w:pPr>
        <w:spacing w:after="0" w:line="240" w:lineRule="auto"/>
        <w:ind w:left="720"/>
        <w:rPr>
          <w:rFonts w:ascii="Times New Roman" w:hAnsi="Times New Roman" w:cs="Times New Roman"/>
          <w:color w:val="000000" w:themeColor="text1"/>
          <w:sz w:val="24"/>
          <w:szCs w:val="24"/>
        </w:rPr>
      </w:pPr>
      <w:r w:rsidRPr="007C302D">
        <w:rPr>
          <w:rFonts w:ascii="Times New Roman" w:hAnsi="Times New Roman" w:cs="Times New Roman"/>
          <w:color w:val="000000" w:themeColor="text1"/>
          <w:sz w:val="24"/>
          <w:szCs w:val="24"/>
        </w:rPr>
        <w:t xml:space="preserve">Another open question under this scenario is the effect of the Minnesota’s joint and several liability statute on an employee’s claim against a third party tortfeasor.  In </w:t>
      </w:r>
      <w:r w:rsidRPr="007C302D">
        <w:rPr>
          <w:rFonts w:ascii="Times New Roman" w:hAnsi="Times New Roman" w:cs="Times New Roman"/>
          <w:color w:val="000000" w:themeColor="text1"/>
          <w:sz w:val="24"/>
          <w:szCs w:val="24"/>
          <w:u w:val="single"/>
        </w:rPr>
        <w:t>Staab v. Diocese of St. Cloud</w:t>
      </w:r>
      <w:r w:rsidR="009F12E4">
        <w:rPr>
          <w:rFonts w:ascii="Times New Roman" w:hAnsi="Times New Roman" w:cs="Times New Roman"/>
          <w:color w:val="000000" w:themeColor="text1"/>
          <w:sz w:val="24"/>
          <w:szCs w:val="24"/>
        </w:rPr>
        <w:t>, 853 N.W. 2d 713 (Minn. 2014)</w:t>
      </w:r>
      <w:bookmarkStart w:id="0" w:name="_GoBack"/>
      <w:bookmarkEnd w:id="0"/>
      <w:r w:rsidRPr="007C302D">
        <w:rPr>
          <w:rFonts w:ascii="Times New Roman" w:hAnsi="Times New Roman" w:cs="Times New Roman"/>
          <w:color w:val="000000" w:themeColor="text1"/>
          <w:sz w:val="24"/>
          <w:szCs w:val="24"/>
        </w:rPr>
        <w:t xml:space="preserve"> the Supreme Court held that a tortfeasor who was not more than 50% at fault was </w:t>
      </w:r>
      <w:r w:rsidR="001554E5" w:rsidRPr="007C302D">
        <w:rPr>
          <w:rFonts w:ascii="Times New Roman" w:hAnsi="Times New Roman" w:cs="Times New Roman"/>
          <w:color w:val="000000" w:themeColor="text1"/>
          <w:sz w:val="24"/>
          <w:szCs w:val="24"/>
        </w:rPr>
        <w:t xml:space="preserve">not jointly liable for the fault of a party who was not sued, but was placed on the verdict form. </w:t>
      </w:r>
      <w:r w:rsidR="007E4388">
        <w:rPr>
          <w:rFonts w:ascii="Times New Roman" w:hAnsi="Times New Roman" w:cs="Times New Roman"/>
          <w:color w:val="000000" w:themeColor="text1"/>
          <w:sz w:val="24"/>
          <w:szCs w:val="24"/>
        </w:rPr>
        <w:t xml:space="preserve"> </w:t>
      </w:r>
      <w:r w:rsidR="001554E5" w:rsidRPr="007C302D">
        <w:rPr>
          <w:rFonts w:ascii="Times New Roman" w:hAnsi="Times New Roman" w:cs="Times New Roman"/>
          <w:color w:val="000000" w:themeColor="text1"/>
          <w:sz w:val="24"/>
          <w:szCs w:val="24"/>
        </w:rPr>
        <w:t xml:space="preserve">However, the plaintiff in </w:t>
      </w:r>
      <w:r w:rsidR="001554E5" w:rsidRPr="007E4388">
        <w:rPr>
          <w:rFonts w:ascii="Times New Roman" w:hAnsi="Times New Roman" w:cs="Times New Roman"/>
          <w:color w:val="000000" w:themeColor="text1"/>
          <w:sz w:val="24"/>
          <w:szCs w:val="24"/>
          <w:u w:val="single"/>
        </w:rPr>
        <w:t>Sta</w:t>
      </w:r>
      <w:r w:rsidR="00ED0F76" w:rsidRPr="007E4388">
        <w:rPr>
          <w:rFonts w:ascii="Times New Roman" w:hAnsi="Times New Roman" w:cs="Times New Roman"/>
          <w:color w:val="000000" w:themeColor="text1"/>
          <w:sz w:val="24"/>
          <w:szCs w:val="24"/>
          <w:u w:val="single"/>
        </w:rPr>
        <w:t>a</w:t>
      </w:r>
      <w:r w:rsidR="001554E5" w:rsidRPr="007E4388">
        <w:rPr>
          <w:rFonts w:ascii="Times New Roman" w:hAnsi="Times New Roman" w:cs="Times New Roman"/>
          <w:color w:val="000000" w:themeColor="text1"/>
          <w:sz w:val="24"/>
          <w:szCs w:val="24"/>
          <w:u w:val="single"/>
        </w:rPr>
        <w:t>b</w:t>
      </w:r>
      <w:r w:rsidR="001554E5" w:rsidRPr="007C302D">
        <w:rPr>
          <w:rFonts w:ascii="Times New Roman" w:hAnsi="Times New Roman" w:cs="Times New Roman"/>
          <w:color w:val="000000" w:themeColor="text1"/>
          <w:sz w:val="24"/>
          <w:szCs w:val="24"/>
        </w:rPr>
        <w:t xml:space="preserve"> was not prevented from suing the other at fault party, her husband, by law as is the case where an employee is pre</w:t>
      </w:r>
      <w:r w:rsidR="00CB4511" w:rsidRPr="007C302D">
        <w:rPr>
          <w:rFonts w:ascii="Times New Roman" w:hAnsi="Times New Roman" w:cs="Times New Roman"/>
          <w:color w:val="000000" w:themeColor="text1"/>
          <w:sz w:val="24"/>
          <w:szCs w:val="24"/>
        </w:rPr>
        <w:t>vented from suing her employer by the workers’ compensation bar.</w:t>
      </w:r>
    </w:p>
    <w:p w:rsidR="007E4388" w:rsidRPr="007C302D" w:rsidRDefault="007E4388" w:rsidP="003651F7">
      <w:pPr>
        <w:spacing w:after="0" w:line="240" w:lineRule="auto"/>
        <w:ind w:firstLine="720"/>
        <w:rPr>
          <w:rFonts w:ascii="Times New Roman" w:hAnsi="Times New Roman" w:cs="Times New Roman"/>
          <w:color w:val="000000" w:themeColor="text1"/>
          <w:sz w:val="24"/>
          <w:szCs w:val="24"/>
        </w:rPr>
      </w:pPr>
    </w:p>
    <w:p w:rsidR="00FB3CBE" w:rsidRDefault="001554E5" w:rsidP="00661E10">
      <w:pPr>
        <w:spacing w:after="0" w:line="240" w:lineRule="auto"/>
        <w:ind w:left="720"/>
        <w:rPr>
          <w:rFonts w:ascii="Times New Roman" w:hAnsi="Times New Roman" w:cs="Times New Roman"/>
          <w:color w:val="000000" w:themeColor="text1"/>
          <w:sz w:val="24"/>
          <w:szCs w:val="24"/>
        </w:rPr>
      </w:pPr>
      <w:r w:rsidRPr="007C302D">
        <w:rPr>
          <w:rFonts w:ascii="Times New Roman" w:hAnsi="Times New Roman" w:cs="Times New Roman"/>
          <w:color w:val="000000" w:themeColor="text1"/>
          <w:sz w:val="24"/>
          <w:szCs w:val="24"/>
        </w:rPr>
        <w:t xml:space="preserve">The Minnesota Supreme Court has not addressed this issue under the new </w:t>
      </w:r>
      <w:r w:rsidR="00CB4511" w:rsidRPr="007C302D">
        <w:rPr>
          <w:rFonts w:ascii="Times New Roman" w:hAnsi="Times New Roman" w:cs="Times New Roman"/>
          <w:color w:val="000000" w:themeColor="text1"/>
          <w:sz w:val="24"/>
          <w:szCs w:val="24"/>
        </w:rPr>
        <w:t xml:space="preserve">comparative fault </w:t>
      </w:r>
      <w:r w:rsidRPr="007C302D">
        <w:rPr>
          <w:rFonts w:ascii="Times New Roman" w:hAnsi="Times New Roman" w:cs="Times New Roman"/>
          <w:color w:val="000000" w:themeColor="text1"/>
          <w:sz w:val="24"/>
          <w:szCs w:val="24"/>
        </w:rPr>
        <w:t>statute</w:t>
      </w:r>
      <w:r w:rsidR="00CB4511" w:rsidRPr="007C302D">
        <w:rPr>
          <w:rFonts w:ascii="Times New Roman" w:hAnsi="Times New Roman" w:cs="Times New Roman"/>
          <w:color w:val="000000" w:themeColor="text1"/>
          <w:sz w:val="24"/>
          <w:szCs w:val="24"/>
        </w:rPr>
        <w:t xml:space="preserve"> or the 2000 revisions to Minn. Stat. Sec. 176.061 subd. 6</w:t>
      </w:r>
      <w:r w:rsidRPr="007C302D">
        <w:rPr>
          <w:rFonts w:ascii="Times New Roman" w:hAnsi="Times New Roman" w:cs="Times New Roman"/>
          <w:color w:val="000000" w:themeColor="text1"/>
          <w:sz w:val="24"/>
          <w:szCs w:val="24"/>
        </w:rPr>
        <w:t>.</w:t>
      </w:r>
      <w:r w:rsidR="004F5587" w:rsidRPr="007C302D">
        <w:rPr>
          <w:rFonts w:ascii="Times New Roman" w:hAnsi="Times New Roman" w:cs="Times New Roman"/>
          <w:color w:val="000000" w:themeColor="text1"/>
          <w:sz w:val="24"/>
          <w:szCs w:val="24"/>
        </w:rPr>
        <w:t xml:space="preserve"> </w:t>
      </w:r>
      <w:r w:rsidR="00874202">
        <w:rPr>
          <w:rFonts w:ascii="Times New Roman" w:hAnsi="Times New Roman" w:cs="Times New Roman"/>
          <w:color w:val="000000" w:themeColor="text1"/>
          <w:sz w:val="24"/>
          <w:szCs w:val="24"/>
        </w:rPr>
        <w:t xml:space="preserve"> </w:t>
      </w:r>
      <w:r w:rsidR="004F5587" w:rsidRPr="007C302D">
        <w:rPr>
          <w:rFonts w:ascii="Times New Roman" w:hAnsi="Times New Roman" w:cs="Times New Roman"/>
          <w:color w:val="000000" w:themeColor="text1"/>
          <w:sz w:val="24"/>
          <w:szCs w:val="24"/>
        </w:rPr>
        <w:t xml:space="preserve">Under a prior version of the comparative fault act, the court, in </w:t>
      </w:r>
      <w:r w:rsidR="00D07CBE">
        <w:rPr>
          <w:rFonts w:ascii="Times New Roman" w:hAnsi="Times New Roman" w:cs="Times New Roman"/>
          <w:color w:val="000000" w:themeColor="text1"/>
          <w:sz w:val="24"/>
          <w:szCs w:val="24"/>
          <w:u w:val="single"/>
        </w:rPr>
        <w:t>Hudson</w:t>
      </w:r>
      <w:r w:rsidR="00FB3CBE" w:rsidRPr="007C302D">
        <w:rPr>
          <w:rFonts w:ascii="Times New Roman" w:hAnsi="Times New Roman" w:cs="Times New Roman"/>
          <w:color w:val="000000" w:themeColor="text1"/>
          <w:sz w:val="24"/>
          <w:szCs w:val="24"/>
          <w:u w:val="single"/>
        </w:rPr>
        <w:t xml:space="preserve"> v. </w:t>
      </w:r>
      <w:r w:rsidR="00D07CBE">
        <w:rPr>
          <w:rFonts w:ascii="Times New Roman" w:hAnsi="Times New Roman" w:cs="Times New Roman"/>
          <w:color w:val="000000" w:themeColor="text1"/>
          <w:sz w:val="24"/>
          <w:szCs w:val="24"/>
          <w:u w:val="single"/>
        </w:rPr>
        <w:t>Snyder</w:t>
      </w:r>
      <w:r w:rsidR="004F5587" w:rsidRPr="007C302D">
        <w:rPr>
          <w:rFonts w:ascii="Times New Roman" w:hAnsi="Times New Roman" w:cs="Times New Roman"/>
          <w:color w:val="000000" w:themeColor="text1"/>
          <w:sz w:val="24"/>
          <w:szCs w:val="24"/>
          <w:u w:val="single"/>
        </w:rPr>
        <w:t xml:space="preserve"> Auto Body</w:t>
      </w:r>
      <w:r w:rsidR="00FB3CBE" w:rsidRPr="007C302D">
        <w:rPr>
          <w:rFonts w:ascii="Times New Roman" w:hAnsi="Times New Roman" w:cs="Times New Roman"/>
          <w:color w:val="000000" w:themeColor="text1"/>
          <w:sz w:val="24"/>
          <w:szCs w:val="24"/>
        </w:rPr>
        <w:t xml:space="preserve">, 326 N.W.2d 149 (Minn. 1982), the court held that the procedural mechanism for payment of the various awards under </w:t>
      </w:r>
      <w:r w:rsidR="00FB3CBE" w:rsidRPr="007C302D">
        <w:rPr>
          <w:rFonts w:ascii="Times New Roman" w:hAnsi="Times New Roman" w:cs="Times New Roman"/>
          <w:color w:val="000000" w:themeColor="text1"/>
          <w:sz w:val="24"/>
          <w:szCs w:val="24"/>
          <w:u w:val="single"/>
        </w:rPr>
        <w:t>Lambertson</w:t>
      </w:r>
      <w:r w:rsidR="00FB3CBE" w:rsidRPr="007C302D">
        <w:rPr>
          <w:rFonts w:ascii="Times New Roman" w:hAnsi="Times New Roman" w:cs="Times New Roman"/>
          <w:color w:val="000000" w:themeColor="text1"/>
          <w:sz w:val="24"/>
          <w:szCs w:val="24"/>
        </w:rPr>
        <w:t xml:space="preserve">, as set out in </w:t>
      </w:r>
      <w:r w:rsidR="00FB3CBE" w:rsidRPr="007C302D">
        <w:rPr>
          <w:rFonts w:ascii="Times New Roman" w:hAnsi="Times New Roman" w:cs="Times New Roman"/>
          <w:color w:val="000000" w:themeColor="text1"/>
          <w:sz w:val="24"/>
          <w:szCs w:val="24"/>
          <w:u w:val="single"/>
        </w:rPr>
        <w:t>Johnson v. Raske Building Systems</w:t>
      </w:r>
      <w:r w:rsidR="00FB3CBE" w:rsidRPr="007C302D">
        <w:rPr>
          <w:rFonts w:ascii="Times New Roman" w:hAnsi="Times New Roman" w:cs="Times New Roman"/>
          <w:color w:val="000000" w:themeColor="text1"/>
          <w:sz w:val="24"/>
          <w:szCs w:val="24"/>
        </w:rPr>
        <w:t xml:space="preserve">, 276 N.W.2d 79 (Minn. 1979) applied and held “The comparative-fault statute does not affect the apportionment procedure set out in </w:t>
      </w:r>
      <w:r w:rsidR="00D07CBE">
        <w:rPr>
          <w:rFonts w:ascii="Times New Roman" w:hAnsi="Times New Roman" w:cs="Times New Roman"/>
          <w:i/>
          <w:iCs/>
          <w:color w:val="000000" w:themeColor="text1"/>
          <w:sz w:val="24"/>
          <w:szCs w:val="24"/>
        </w:rPr>
        <w:t xml:space="preserve">Johnson.” </w:t>
      </w:r>
      <w:r w:rsidR="00FB3CBE" w:rsidRPr="00D07CBE">
        <w:rPr>
          <w:rFonts w:ascii="Times New Roman" w:hAnsi="Times New Roman" w:cs="Times New Roman"/>
          <w:iCs/>
          <w:color w:val="000000" w:themeColor="text1"/>
          <w:sz w:val="24"/>
          <w:szCs w:val="24"/>
        </w:rPr>
        <w:t xml:space="preserve">326 N.W. 2d </w:t>
      </w:r>
      <w:r w:rsidR="00D07CBE" w:rsidRPr="00D07CBE">
        <w:rPr>
          <w:rFonts w:ascii="Times New Roman" w:hAnsi="Times New Roman" w:cs="Times New Roman"/>
          <w:iCs/>
          <w:color w:val="000000" w:themeColor="text1"/>
          <w:sz w:val="24"/>
          <w:szCs w:val="24"/>
        </w:rPr>
        <w:t>at 157</w:t>
      </w:r>
      <w:r w:rsidR="00FB3CBE" w:rsidRPr="007C302D">
        <w:rPr>
          <w:rFonts w:ascii="Times New Roman" w:hAnsi="Times New Roman" w:cs="Times New Roman"/>
          <w:i/>
          <w:iCs/>
          <w:color w:val="000000" w:themeColor="text1"/>
          <w:sz w:val="24"/>
          <w:szCs w:val="24"/>
        </w:rPr>
        <w:t>.</w:t>
      </w:r>
      <w:r w:rsidR="004F5587" w:rsidRPr="007C302D">
        <w:rPr>
          <w:rFonts w:ascii="Times New Roman" w:hAnsi="Times New Roman" w:cs="Times New Roman"/>
          <w:color w:val="000000" w:themeColor="text1"/>
          <w:sz w:val="24"/>
          <w:szCs w:val="24"/>
        </w:rPr>
        <w:t xml:space="preserve"> </w:t>
      </w:r>
      <w:r w:rsidR="00D57B16" w:rsidRPr="007C302D">
        <w:rPr>
          <w:rFonts w:ascii="Times New Roman" w:hAnsi="Times New Roman" w:cs="Times New Roman"/>
          <w:color w:val="000000" w:themeColor="text1"/>
          <w:sz w:val="24"/>
          <w:szCs w:val="24"/>
        </w:rPr>
        <w:t xml:space="preserve"> </w:t>
      </w:r>
      <w:r w:rsidR="00FB3CBE" w:rsidRPr="007C302D">
        <w:rPr>
          <w:rFonts w:ascii="Times New Roman" w:hAnsi="Times New Roman" w:cs="Times New Roman"/>
          <w:color w:val="000000" w:themeColor="text1"/>
          <w:sz w:val="24"/>
          <w:szCs w:val="24"/>
        </w:rPr>
        <w:t xml:space="preserve">Under the </w:t>
      </w:r>
      <w:r w:rsidR="00FB3CBE" w:rsidRPr="007C302D">
        <w:rPr>
          <w:rFonts w:ascii="Times New Roman" w:hAnsi="Times New Roman" w:cs="Times New Roman"/>
          <w:color w:val="000000" w:themeColor="text1"/>
          <w:sz w:val="24"/>
          <w:szCs w:val="24"/>
          <w:u w:val="single"/>
        </w:rPr>
        <w:t>Johnson</w:t>
      </w:r>
      <w:r w:rsidR="00FB3CBE" w:rsidRPr="007C302D">
        <w:rPr>
          <w:rFonts w:ascii="Times New Roman" w:hAnsi="Times New Roman" w:cs="Times New Roman"/>
          <w:color w:val="000000" w:themeColor="text1"/>
          <w:sz w:val="24"/>
          <w:szCs w:val="24"/>
        </w:rPr>
        <w:t xml:space="preserve"> procedure, the at fault tortfeasor pays the total amount of the judgment in favor of the plaintiff to the plaintiff</w:t>
      </w:r>
      <w:r w:rsidR="00CB4511" w:rsidRPr="007C302D">
        <w:rPr>
          <w:rFonts w:ascii="Times New Roman" w:hAnsi="Times New Roman" w:cs="Times New Roman"/>
          <w:color w:val="000000" w:themeColor="text1"/>
          <w:sz w:val="24"/>
          <w:szCs w:val="24"/>
        </w:rPr>
        <w:t xml:space="preserve"> (damages less plaintiff’s fault)</w:t>
      </w:r>
      <w:r w:rsidR="00FB3CBE" w:rsidRPr="007C302D">
        <w:rPr>
          <w:rFonts w:ascii="Times New Roman" w:hAnsi="Times New Roman" w:cs="Times New Roman"/>
          <w:color w:val="000000" w:themeColor="text1"/>
          <w:sz w:val="24"/>
          <w:szCs w:val="24"/>
        </w:rPr>
        <w:t xml:space="preserve">, and then the employer pays the tortfeasor for the employer’s </w:t>
      </w:r>
      <w:r w:rsidR="00FB3CBE" w:rsidRPr="007C302D">
        <w:rPr>
          <w:rFonts w:ascii="Times New Roman" w:hAnsi="Times New Roman" w:cs="Times New Roman"/>
          <w:color w:val="000000" w:themeColor="text1"/>
          <w:sz w:val="24"/>
          <w:szCs w:val="24"/>
          <w:u w:val="single"/>
        </w:rPr>
        <w:t>Lamberston</w:t>
      </w:r>
      <w:r w:rsidR="00FB3CBE" w:rsidRPr="007C302D">
        <w:rPr>
          <w:rFonts w:ascii="Times New Roman" w:hAnsi="Times New Roman" w:cs="Times New Roman"/>
          <w:color w:val="000000" w:themeColor="text1"/>
          <w:sz w:val="24"/>
          <w:szCs w:val="24"/>
        </w:rPr>
        <w:t xml:space="preserve"> contribution </w:t>
      </w:r>
      <w:r w:rsidR="00ED0F76" w:rsidRPr="007C302D">
        <w:rPr>
          <w:rFonts w:ascii="Times New Roman" w:hAnsi="Times New Roman" w:cs="Times New Roman"/>
          <w:color w:val="000000" w:themeColor="text1"/>
          <w:sz w:val="24"/>
          <w:szCs w:val="24"/>
        </w:rPr>
        <w:t>liability</w:t>
      </w:r>
      <w:r w:rsidR="00FB3CBE" w:rsidRPr="007C302D">
        <w:rPr>
          <w:rFonts w:ascii="Times New Roman" w:hAnsi="Times New Roman" w:cs="Times New Roman"/>
          <w:color w:val="000000" w:themeColor="text1"/>
          <w:sz w:val="24"/>
          <w:szCs w:val="24"/>
        </w:rPr>
        <w:t xml:space="preserve"> and the employer recovers its subrogation claim from the employee.  </w:t>
      </w:r>
    </w:p>
    <w:p w:rsidR="00642F70" w:rsidRPr="007C302D" w:rsidRDefault="00642F70" w:rsidP="00642F70">
      <w:pPr>
        <w:spacing w:after="0" w:line="240" w:lineRule="auto"/>
        <w:ind w:firstLine="720"/>
        <w:rPr>
          <w:rFonts w:ascii="Times New Roman" w:hAnsi="Times New Roman" w:cs="Times New Roman"/>
          <w:color w:val="000000" w:themeColor="text1"/>
          <w:sz w:val="24"/>
          <w:szCs w:val="24"/>
        </w:rPr>
      </w:pPr>
    </w:p>
    <w:p w:rsidR="00064EBE" w:rsidRPr="007C302D" w:rsidRDefault="004F5587" w:rsidP="00661E10">
      <w:pPr>
        <w:spacing w:after="0" w:line="240" w:lineRule="auto"/>
        <w:ind w:left="720"/>
        <w:rPr>
          <w:rFonts w:ascii="Times New Roman" w:hAnsi="Times New Roman" w:cs="Times New Roman"/>
          <w:color w:val="000000" w:themeColor="text1"/>
          <w:sz w:val="24"/>
          <w:szCs w:val="24"/>
        </w:rPr>
      </w:pPr>
      <w:r w:rsidRPr="007C302D">
        <w:rPr>
          <w:rFonts w:ascii="Times New Roman" w:hAnsi="Times New Roman" w:cs="Times New Roman"/>
          <w:color w:val="000000" w:themeColor="text1"/>
          <w:sz w:val="24"/>
          <w:szCs w:val="24"/>
        </w:rPr>
        <w:t xml:space="preserve"> However, in </w:t>
      </w:r>
      <w:r w:rsidRPr="007C302D">
        <w:rPr>
          <w:rFonts w:ascii="Times New Roman" w:hAnsi="Times New Roman" w:cs="Times New Roman"/>
          <w:color w:val="000000" w:themeColor="text1"/>
          <w:sz w:val="24"/>
          <w:szCs w:val="24"/>
          <w:u w:val="single"/>
        </w:rPr>
        <w:t>Gaudreault v. Elite Line Services, LLC</w:t>
      </w:r>
      <w:r w:rsidRPr="007C302D">
        <w:rPr>
          <w:rFonts w:ascii="Times New Roman" w:hAnsi="Times New Roman" w:cs="Times New Roman"/>
          <w:color w:val="000000" w:themeColor="text1"/>
          <w:sz w:val="24"/>
          <w:szCs w:val="24"/>
        </w:rPr>
        <w:t>, 2014 WL 21</w:t>
      </w:r>
      <w:r w:rsidR="00CB4511" w:rsidRPr="007C302D">
        <w:rPr>
          <w:rFonts w:ascii="Times New Roman" w:hAnsi="Times New Roman" w:cs="Times New Roman"/>
          <w:color w:val="000000" w:themeColor="text1"/>
          <w:sz w:val="24"/>
          <w:szCs w:val="24"/>
        </w:rPr>
        <w:t>17211 (D. Minn. 2014), Judge Ericksen</w:t>
      </w:r>
      <w:r w:rsidRPr="007C302D">
        <w:rPr>
          <w:rFonts w:ascii="Times New Roman" w:hAnsi="Times New Roman" w:cs="Times New Roman"/>
          <w:color w:val="000000" w:themeColor="text1"/>
          <w:sz w:val="24"/>
          <w:szCs w:val="24"/>
        </w:rPr>
        <w:t xml:space="preserve"> applied the reasoning in </w:t>
      </w:r>
      <w:r w:rsidRPr="00642F70">
        <w:rPr>
          <w:rFonts w:ascii="Times New Roman" w:hAnsi="Times New Roman" w:cs="Times New Roman"/>
          <w:color w:val="000000" w:themeColor="text1"/>
          <w:sz w:val="24"/>
          <w:szCs w:val="24"/>
          <w:u w:val="single"/>
        </w:rPr>
        <w:t>Staab</w:t>
      </w:r>
      <w:r w:rsidR="00642F70">
        <w:rPr>
          <w:rFonts w:ascii="Times New Roman" w:hAnsi="Times New Roman" w:cs="Times New Roman"/>
          <w:color w:val="000000" w:themeColor="text1"/>
          <w:sz w:val="24"/>
          <w:szCs w:val="24"/>
        </w:rPr>
        <w:t xml:space="preserve"> </w:t>
      </w:r>
      <w:r w:rsidRPr="00642F70">
        <w:rPr>
          <w:rFonts w:ascii="Times New Roman" w:hAnsi="Times New Roman" w:cs="Times New Roman"/>
          <w:color w:val="000000" w:themeColor="text1"/>
          <w:sz w:val="24"/>
          <w:szCs w:val="24"/>
        </w:rPr>
        <w:t xml:space="preserve">and </w:t>
      </w:r>
      <w:r w:rsidRPr="007C302D">
        <w:rPr>
          <w:rFonts w:ascii="Times New Roman" w:hAnsi="Times New Roman" w:cs="Times New Roman"/>
          <w:color w:val="000000" w:themeColor="text1"/>
          <w:sz w:val="24"/>
          <w:szCs w:val="24"/>
        </w:rPr>
        <w:t xml:space="preserve">held that the comparative fault act applied to a special verdict form where the </w:t>
      </w:r>
      <w:r w:rsidRPr="007C302D">
        <w:rPr>
          <w:rFonts w:ascii="Times New Roman" w:hAnsi="Times New Roman" w:cs="Times New Roman"/>
          <w:color w:val="000000" w:themeColor="text1"/>
          <w:sz w:val="24"/>
          <w:szCs w:val="24"/>
        </w:rPr>
        <w:lastRenderedPageBreak/>
        <w:t xml:space="preserve">third party tortfeasor sought contribution from the employer, and the third party tortfeasor was less than 50% at fault. </w:t>
      </w:r>
      <w:r w:rsidR="00064EBE" w:rsidRPr="007C302D">
        <w:rPr>
          <w:rFonts w:ascii="Times New Roman" w:hAnsi="Times New Roman" w:cs="Times New Roman"/>
          <w:color w:val="000000" w:themeColor="text1"/>
          <w:sz w:val="24"/>
          <w:szCs w:val="24"/>
        </w:rPr>
        <w:t xml:space="preserve"> </w:t>
      </w:r>
      <w:r w:rsidR="00FB3CBE" w:rsidRPr="007C302D">
        <w:rPr>
          <w:rFonts w:ascii="Times New Roman" w:hAnsi="Times New Roman" w:cs="Times New Roman"/>
          <w:color w:val="000000" w:themeColor="text1"/>
          <w:sz w:val="24"/>
          <w:szCs w:val="24"/>
        </w:rPr>
        <w:t xml:space="preserve">In </w:t>
      </w:r>
      <w:r w:rsidR="00ED0F76" w:rsidRPr="007C302D">
        <w:rPr>
          <w:rFonts w:ascii="Times New Roman" w:hAnsi="Times New Roman" w:cs="Times New Roman"/>
          <w:color w:val="000000" w:themeColor="text1"/>
          <w:sz w:val="24"/>
          <w:szCs w:val="24"/>
        </w:rPr>
        <w:t>other words</w:t>
      </w:r>
      <w:r w:rsidR="00FB3CBE" w:rsidRPr="007C302D">
        <w:rPr>
          <w:rFonts w:ascii="Times New Roman" w:hAnsi="Times New Roman" w:cs="Times New Roman"/>
          <w:color w:val="000000" w:themeColor="text1"/>
          <w:sz w:val="24"/>
          <w:szCs w:val="24"/>
        </w:rPr>
        <w:t xml:space="preserve">, the court did not apply the </w:t>
      </w:r>
      <w:r w:rsidR="00FB3CBE" w:rsidRPr="007C302D">
        <w:rPr>
          <w:rFonts w:ascii="Times New Roman" w:hAnsi="Times New Roman" w:cs="Times New Roman"/>
          <w:color w:val="000000" w:themeColor="text1"/>
          <w:sz w:val="24"/>
          <w:szCs w:val="24"/>
          <w:u w:val="single"/>
        </w:rPr>
        <w:t>Johnson</w:t>
      </w:r>
      <w:r w:rsidR="00FB3CBE" w:rsidRPr="007C302D">
        <w:rPr>
          <w:rFonts w:ascii="Times New Roman" w:hAnsi="Times New Roman" w:cs="Times New Roman"/>
          <w:color w:val="000000" w:themeColor="text1"/>
          <w:sz w:val="24"/>
          <w:szCs w:val="24"/>
        </w:rPr>
        <w:t xml:space="preserve"> method approved by </w:t>
      </w:r>
      <w:r w:rsidR="00D07CBE">
        <w:rPr>
          <w:rFonts w:ascii="Times New Roman" w:hAnsi="Times New Roman" w:cs="Times New Roman"/>
          <w:color w:val="000000" w:themeColor="text1"/>
          <w:sz w:val="24"/>
          <w:szCs w:val="24"/>
          <w:u w:val="single"/>
        </w:rPr>
        <w:t>Hudson</w:t>
      </w:r>
      <w:r w:rsidR="00D57B16" w:rsidRPr="007C302D">
        <w:rPr>
          <w:rFonts w:ascii="Times New Roman" w:hAnsi="Times New Roman" w:cs="Times New Roman"/>
          <w:color w:val="000000" w:themeColor="text1"/>
          <w:sz w:val="24"/>
          <w:szCs w:val="24"/>
        </w:rPr>
        <w:t xml:space="preserve">. </w:t>
      </w:r>
      <w:r w:rsidR="000712FA">
        <w:rPr>
          <w:rFonts w:ascii="Times New Roman" w:hAnsi="Times New Roman" w:cs="Times New Roman"/>
          <w:color w:val="000000" w:themeColor="text1"/>
          <w:sz w:val="24"/>
          <w:szCs w:val="24"/>
        </w:rPr>
        <w:t xml:space="preserve"> </w:t>
      </w:r>
      <w:r w:rsidR="00D57B16" w:rsidRPr="007C302D">
        <w:rPr>
          <w:rFonts w:ascii="Times New Roman" w:hAnsi="Times New Roman" w:cs="Times New Roman"/>
          <w:color w:val="000000" w:themeColor="text1"/>
          <w:sz w:val="24"/>
          <w:szCs w:val="24"/>
        </w:rPr>
        <w:t xml:space="preserve">Rather, the court held that since </w:t>
      </w:r>
      <w:r w:rsidR="00D57B16" w:rsidRPr="007C302D">
        <w:rPr>
          <w:rFonts w:ascii="Times New Roman" w:hAnsi="Times New Roman" w:cs="Times New Roman"/>
          <w:color w:val="000000" w:themeColor="text1"/>
          <w:sz w:val="24"/>
          <w:szCs w:val="24"/>
          <w:u w:val="single"/>
        </w:rPr>
        <w:t xml:space="preserve">Johnson </w:t>
      </w:r>
      <w:r w:rsidR="00D57B16" w:rsidRPr="007C302D">
        <w:rPr>
          <w:rFonts w:ascii="Times New Roman" w:hAnsi="Times New Roman" w:cs="Times New Roman"/>
          <w:color w:val="000000" w:themeColor="text1"/>
          <w:sz w:val="24"/>
          <w:szCs w:val="24"/>
        </w:rPr>
        <w:t xml:space="preserve">was decided before Minn. Stat. Sec. 176.061 subd. 11 was enacted, and since the employer had waived and walked, the </w:t>
      </w:r>
      <w:r w:rsidR="00D57B16" w:rsidRPr="007C302D">
        <w:rPr>
          <w:rFonts w:ascii="Times New Roman" w:hAnsi="Times New Roman" w:cs="Times New Roman"/>
          <w:color w:val="000000" w:themeColor="text1"/>
          <w:sz w:val="24"/>
          <w:szCs w:val="24"/>
          <w:u w:val="single"/>
        </w:rPr>
        <w:t>Johnson</w:t>
      </w:r>
      <w:r w:rsidR="00D57B16" w:rsidRPr="007C302D">
        <w:rPr>
          <w:rFonts w:ascii="Times New Roman" w:hAnsi="Times New Roman" w:cs="Times New Roman"/>
          <w:color w:val="000000" w:themeColor="text1"/>
          <w:sz w:val="24"/>
          <w:szCs w:val="24"/>
        </w:rPr>
        <w:t xml:space="preserve"> plan was not applicable.  The Federal court did not directly address the language of </w:t>
      </w:r>
      <w:r w:rsidR="00D07CBE">
        <w:rPr>
          <w:rFonts w:ascii="Times New Roman" w:hAnsi="Times New Roman" w:cs="Times New Roman"/>
          <w:color w:val="000000" w:themeColor="text1"/>
          <w:sz w:val="24"/>
          <w:szCs w:val="24"/>
          <w:u w:val="single"/>
        </w:rPr>
        <w:t>Hudson</w:t>
      </w:r>
      <w:r w:rsidR="00D57B16" w:rsidRPr="007C302D">
        <w:rPr>
          <w:rFonts w:ascii="Times New Roman" w:hAnsi="Times New Roman" w:cs="Times New Roman"/>
          <w:color w:val="000000" w:themeColor="text1"/>
          <w:sz w:val="24"/>
          <w:szCs w:val="24"/>
        </w:rPr>
        <w:t xml:space="preserve">. </w:t>
      </w:r>
      <w:r w:rsidR="000712FA">
        <w:rPr>
          <w:rFonts w:ascii="Times New Roman" w:hAnsi="Times New Roman" w:cs="Times New Roman"/>
          <w:color w:val="000000" w:themeColor="text1"/>
          <w:sz w:val="24"/>
          <w:szCs w:val="24"/>
        </w:rPr>
        <w:t xml:space="preserve"> </w:t>
      </w:r>
      <w:r w:rsidR="00D57B16" w:rsidRPr="007C302D">
        <w:rPr>
          <w:rFonts w:ascii="Times New Roman" w:hAnsi="Times New Roman" w:cs="Times New Roman"/>
          <w:color w:val="000000" w:themeColor="text1"/>
          <w:sz w:val="24"/>
          <w:szCs w:val="24"/>
        </w:rPr>
        <w:t xml:space="preserve">It did however refuse to follow </w:t>
      </w:r>
      <w:r w:rsidR="00D57B16" w:rsidRPr="007C302D">
        <w:rPr>
          <w:rFonts w:ascii="Times New Roman" w:hAnsi="Times New Roman" w:cs="Times New Roman"/>
          <w:iCs/>
          <w:color w:val="000000" w:themeColor="text1"/>
          <w:sz w:val="24"/>
          <w:szCs w:val="24"/>
          <w:u w:val="single"/>
        </w:rPr>
        <w:t>Decker v. Brunkow</w:t>
      </w:r>
      <w:r w:rsidR="00D57B16" w:rsidRPr="007C302D">
        <w:rPr>
          <w:rFonts w:ascii="Times New Roman" w:hAnsi="Times New Roman" w:cs="Times New Roman"/>
          <w:color w:val="000000" w:themeColor="text1"/>
          <w:sz w:val="24"/>
          <w:szCs w:val="24"/>
        </w:rPr>
        <w:t xml:space="preserve">, 557 N.W.2d 360 (Minn. App. 1996) which addressed this issue in light of the 4x15% joint liability rule then in effect and found that even where the third party tortfeasor’s fault was only 5% and the employers fault was 95%, the third party tortfeasor owed employee the full amount of its damages. </w:t>
      </w:r>
      <w:r w:rsidR="000712FA">
        <w:rPr>
          <w:rFonts w:ascii="Times New Roman" w:hAnsi="Times New Roman" w:cs="Times New Roman"/>
          <w:color w:val="000000" w:themeColor="text1"/>
          <w:sz w:val="24"/>
          <w:szCs w:val="24"/>
        </w:rPr>
        <w:t xml:space="preserve"> </w:t>
      </w:r>
      <w:r w:rsidR="00D57B16" w:rsidRPr="007C302D">
        <w:rPr>
          <w:rFonts w:ascii="Times New Roman" w:hAnsi="Times New Roman" w:cs="Times New Roman"/>
          <w:color w:val="000000" w:themeColor="text1"/>
          <w:sz w:val="24"/>
          <w:szCs w:val="24"/>
        </w:rPr>
        <w:t xml:space="preserve">The Federal court also failed to appreciate that while Minn. Stat. Sec. 176.061 subd. 11 codified the waive and walk procedure, </w:t>
      </w:r>
      <w:r w:rsidR="00D57B16" w:rsidRPr="007C302D">
        <w:rPr>
          <w:rFonts w:ascii="Times New Roman" w:hAnsi="Times New Roman" w:cs="Times New Roman"/>
          <w:color w:val="000000" w:themeColor="text1"/>
          <w:sz w:val="24"/>
          <w:szCs w:val="24"/>
          <w:u w:val="single"/>
        </w:rPr>
        <w:t>Lambertson</w:t>
      </w:r>
      <w:r w:rsidR="00D57B16" w:rsidRPr="007C302D">
        <w:rPr>
          <w:rFonts w:ascii="Times New Roman" w:hAnsi="Times New Roman" w:cs="Times New Roman"/>
          <w:color w:val="000000" w:themeColor="text1"/>
          <w:sz w:val="24"/>
          <w:szCs w:val="24"/>
        </w:rPr>
        <w:t xml:space="preserve"> itself </w:t>
      </w:r>
      <w:r w:rsidR="00CB4511" w:rsidRPr="007C302D">
        <w:rPr>
          <w:rFonts w:ascii="Times New Roman" w:hAnsi="Times New Roman" w:cs="Times New Roman"/>
          <w:color w:val="000000" w:themeColor="text1"/>
          <w:sz w:val="24"/>
          <w:szCs w:val="24"/>
        </w:rPr>
        <w:t xml:space="preserve">created the framework for that procedure, and it was used prior to the new statute. </w:t>
      </w:r>
      <w:r w:rsidR="000712FA">
        <w:rPr>
          <w:rFonts w:ascii="Times New Roman" w:hAnsi="Times New Roman" w:cs="Times New Roman"/>
          <w:color w:val="000000" w:themeColor="text1"/>
          <w:sz w:val="24"/>
          <w:szCs w:val="24"/>
        </w:rPr>
        <w:t xml:space="preserve"> </w:t>
      </w:r>
      <w:r w:rsidR="00CB4511" w:rsidRPr="007C302D">
        <w:rPr>
          <w:rFonts w:ascii="Times New Roman" w:hAnsi="Times New Roman" w:cs="Times New Roman"/>
          <w:color w:val="000000" w:themeColor="text1"/>
          <w:sz w:val="24"/>
          <w:szCs w:val="24"/>
        </w:rPr>
        <w:t xml:space="preserve">Finally, it should be noted that the court’s discussion in </w:t>
      </w:r>
      <w:r w:rsidR="00CB4511" w:rsidRPr="007C302D">
        <w:rPr>
          <w:rFonts w:ascii="Times New Roman" w:hAnsi="Times New Roman" w:cs="Times New Roman"/>
          <w:color w:val="000000" w:themeColor="text1"/>
          <w:sz w:val="24"/>
          <w:szCs w:val="24"/>
          <w:u w:val="single"/>
        </w:rPr>
        <w:t>Gaudreault</w:t>
      </w:r>
      <w:r w:rsidR="00CB4511" w:rsidRPr="007C302D">
        <w:rPr>
          <w:rFonts w:ascii="Times New Roman" w:hAnsi="Times New Roman" w:cs="Times New Roman"/>
          <w:color w:val="000000" w:themeColor="text1"/>
          <w:sz w:val="24"/>
          <w:szCs w:val="24"/>
        </w:rPr>
        <w:t xml:space="preserve"> was not a holding, but was an advisory opinion that the court itself recognized it did not have the power to make. </w:t>
      </w:r>
      <w:r w:rsidR="000712FA">
        <w:rPr>
          <w:rFonts w:ascii="Times New Roman" w:hAnsi="Times New Roman" w:cs="Times New Roman"/>
          <w:color w:val="000000" w:themeColor="text1"/>
          <w:sz w:val="24"/>
          <w:szCs w:val="24"/>
        </w:rPr>
        <w:t xml:space="preserve"> </w:t>
      </w:r>
      <w:r w:rsidR="00CB4511" w:rsidRPr="007C302D">
        <w:rPr>
          <w:rFonts w:ascii="Times New Roman" w:hAnsi="Times New Roman" w:cs="Times New Roman"/>
          <w:color w:val="000000" w:themeColor="text1"/>
          <w:sz w:val="24"/>
          <w:szCs w:val="24"/>
        </w:rPr>
        <w:t xml:space="preserve">It did so only as an accommodation to the parties. </w:t>
      </w:r>
    </w:p>
    <w:p w:rsidR="00081262" w:rsidRDefault="0008126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rsidR="007B335B" w:rsidRPr="00081262" w:rsidRDefault="007B335B" w:rsidP="00081262">
      <w:pPr>
        <w:pStyle w:val="ListParagraph"/>
        <w:numPr>
          <w:ilvl w:val="0"/>
          <w:numId w:val="6"/>
        </w:numPr>
        <w:spacing w:before="48" w:after="120" w:line="240" w:lineRule="auto"/>
        <w:ind w:left="720"/>
        <w:rPr>
          <w:rFonts w:ascii="Times New Roman" w:eastAsia="Times New Roman" w:hAnsi="Times New Roman" w:cs="Times New Roman"/>
          <w:b/>
          <w:color w:val="000000" w:themeColor="text1"/>
          <w:sz w:val="24"/>
          <w:szCs w:val="24"/>
        </w:rPr>
      </w:pPr>
      <w:r w:rsidRPr="00081262">
        <w:rPr>
          <w:rFonts w:ascii="Times New Roman" w:eastAsia="Times New Roman" w:hAnsi="Times New Roman" w:cs="Times New Roman"/>
          <w:b/>
          <w:color w:val="000000" w:themeColor="text1"/>
          <w:sz w:val="24"/>
          <w:szCs w:val="24"/>
        </w:rPr>
        <w:lastRenderedPageBreak/>
        <w:t xml:space="preserve">Theories that have not been </w:t>
      </w:r>
      <w:r w:rsidR="000D49A5" w:rsidRPr="00081262">
        <w:rPr>
          <w:rFonts w:ascii="Times New Roman" w:eastAsia="Times New Roman" w:hAnsi="Times New Roman" w:cs="Times New Roman"/>
          <w:b/>
          <w:color w:val="000000" w:themeColor="text1"/>
          <w:sz w:val="24"/>
          <w:szCs w:val="24"/>
        </w:rPr>
        <w:t>a</w:t>
      </w:r>
      <w:r w:rsidRPr="00081262">
        <w:rPr>
          <w:rFonts w:ascii="Times New Roman" w:eastAsia="Times New Roman" w:hAnsi="Times New Roman" w:cs="Times New Roman"/>
          <w:b/>
          <w:color w:val="000000" w:themeColor="text1"/>
          <w:sz w:val="24"/>
          <w:szCs w:val="24"/>
        </w:rPr>
        <w:t>dopted in Minnesota</w:t>
      </w:r>
    </w:p>
    <w:p w:rsidR="000C60E9" w:rsidRPr="000C60E9" w:rsidRDefault="000C60E9" w:rsidP="000712FA">
      <w:pPr>
        <w:pStyle w:val="ListParagraph"/>
        <w:spacing w:before="48" w:after="120" w:line="240" w:lineRule="auto"/>
        <w:ind w:left="840"/>
        <w:jc w:val="center"/>
        <w:rPr>
          <w:rFonts w:ascii="Times New Roman" w:eastAsia="Times New Roman" w:hAnsi="Times New Roman" w:cs="Times New Roman"/>
          <w:b/>
          <w:color w:val="000000" w:themeColor="text1"/>
          <w:sz w:val="24"/>
          <w:szCs w:val="24"/>
          <w:u w:val="single"/>
        </w:rPr>
      </w:pPr>
    </w:p>
    <w:p w:rsidR="007B335B" w:rsidRPr="00777804" w:rsidRDefault="007B335B" w:rsidP="00081262">
      <w:pPr>
        <w:pStyle w:val="ListParagraph"/>
        <w:numPr>
          <w:ilvl w:val="0"/>
          <w:numId w:val="10"/>
        </w:numPr>
        <w:spacing w:before="48" w:after="120" w:line="300" w:lineRule="atLeast"/>
        <w:ind w:left="1440" w:hanging="720"/>
        <w:rPr>
          <w:rFonts w:ascii="Times New Roman" w:eastAsia="Times New Roman" w:hAnsi="Times New Roman" w:cs="Times New Roman"/>
          <w:color w:val="000000" w:themeColor="text1"/>
          <w:sz w:val="24"/>
          <w:szCs w:val="24"/>
        </w:rPr>
      </w:pPr>
      <w:r w:rsidRPr="00777804">
        <w:rPr>
          <w:rFonts w:ascii="Times New Roman" w:eastAsia="Times New Roman" w:hAnsi="Times New Roman" w:cs="Times New Roman"/>
          <w:color w:val="000000" w:themeColor="text1"/>
          <w:sz w:val="24"/>
          <w:szCs w:val="24"/>
        </w:rPr>
        <w:t>Dual Capacity Doctrine</w:t>
      </w:r>
    </w:p>
    <w:p w:rsidR="00202764" w:rsidRPr="007C302D" w:rsidRDefault="00202764" w:rsidP="00081262">
      <w:pPr>
        <w:ind w:left="720"/>
        <w:rPr>
          <w:rFonts w:ascii="Times New Roman" w:eastAsia="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t>The “dual capacity” doctrine was advocated by many scholars in the 1970s and early 1980s. It proposed that:</w:t>
      </w:r>
    </w:p>
    <w:p w:rsidR="00202764" w:rsidRDefault="00202764" w:rsidP="00081262">
      <w:pPr>
        <w:spacing w:after="0" w:line="240" w:lineRule="auto"/>
        <w:ind w:left="1440" w:right="720"/>
        <w:rPr>
          <w:rFonts w:ascii="Times New Roman" w:eastAsia="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t xml:space="preserve"> “[A]n employer normally shielded from tort liability by the exclusive remedy principle may become liable in tort to his own employee if he occupies, in addition to his capacity as employer, a second capacity that confers on him obligations independent of those imposed on him as employer.</w:t>
      </w:r>
    </w:p>
    <w:p w:rsidR="000C60E9" w:rsidRPr="007C302D" w:rsidRDefault="000C60E9" w:rsidP="000C60E9">
      <w:pPr>
        <w:spacing w:after="0" w:line="240" w:lineRule="auto"/>
        <w:ind w:left="1440"/>
        <w:rPr>
          <w:rFonts w:ascii="Times New Roman" w:eastAsia="Times New Roman" w:hAnsi="Times New Roman" w:cs="Times New Roman"/>
          <w:color w:val="000000" w:themeColor="text1"/>
          <w:sz w:val="24"/>
          <w:szCs w:val="24"/>
        </w:rPr>
      </w:pPr>
    </w:p>
    <w:p w:rsidR="00202764" w:rsidRPr="007C302D" w:rsidRDefault="00202764" w:rsidP="00081262">
      <w:pPr>
        <w:spacing w:after="0" w:line="240" w:lineRule="auto"/>
        <w:ind w:left="720"/>
        <w:rPr>
          <w:rFonts w:ascii="Times New Roman" w:eastAsia="Times New Roman" w:hAnsi="Times New Roman" w:cs="Times New Roman"/>
          <w:color w:val="000000" w:themeColor="text1"/>
          <w:sz w:val="24"/>
          <w:szCs w:val="24"/>
        </w:rPr>
      </w:pPr>
      <w:r w:rsidRPr="007C302D">
        <w:rPr>
          <w:rFonts w:ascii="Times New Roman" w:eastAsia="Times New Roman" w:hAnsi="Times New Roman" w:cs="Times New Roman"/>
          <w:color w:val="000000" w:themeColor="text1"/>
          <w:sz w:val="24"/>
          <w:szCs w:val="24"/>
        </w:rPr>
        <w:t xml:space="preserve">2A A. Larson, </w:t>
      </w:r>
      <w:r w:rsidRPr="007C302D">
        <w:rPr>
          <w:rFonts w:ascii="Times New Roman" w:eastAsia="Times New Roman" w:hAnsi="Times New Roman" w:cs="Times New Roman"/>
          <w:i/>
          <w:iCs/>
          <w:color w:val="000000" w:themeColor="text1"/>
          <w:sz w:val="24"/>
          <w:szCs w:val="24"/>
        </w:rPr>
        <w:t>The Law of Workmen's Compensation</w:t>
      </w:r>
      <w:r w:rsidRPr="007C302D">
        <w:rPr>
          <w:rFonts w:ascii="Times New Roman" w:eastAsia="Times New Roman" w:hAnsi="Times New Roman" w:cs="Times New Roman"/>
          <w:color w:val="000000" w:themeColor="text1"/>
          <w:sz w:val="24"/>
          <w:szCs w:val="24"/>
        </w:rPr>
        <w:t xml:space="preserve"> § 72.80 (1976 &amp; Cum.</w:t>
      </w:r>
      <w:r w:rsidR="00ED0F76" w:rsidRPr="007C302D">
        <w:rPr>
          <w:rFonts w:ascii="Times New Roman" w:eastAsia="Times New Roman" w:hAnsi="Times New Roman" w:cs="Times New Roman"/>
          <w:color w:val="000000" w:themeColor="text1"/>
          <w:sz w:val="24"/>
          <w:szCs w:val="24"/>
        </w:rPr>
        <w:t xml:space="preserve"> </w:t>
      </w:r>
      <w:r w:rsidRPr="007C302D">
        <w:rPr>
          <w:rFonts w:ascii="Times New Roman" w:eastAsia="Times New Roman" w:hAnsi="Times New Roman" w:cs="Times New Roman"/>
          <w:color w:val="000000" w:themeColor="text1"/>
          <w:sz w:val="24"/>
          <w:szCs w:val="24"/>
        </w:rPr>
        <w:t xml:space="preserve">Supp. 1980), quoted in Note, </w:t>
      </w:r>
      <w:r w:rsidRPr="007C302D">
        <w:rPr>
          <w:rFonts w:ascii="Times New Roman" w:eastAsia="Times New Roman" w:hAnsi="Times New Roman" w:cs="Times New Roman"/>
          <w:i/>
          <w:iCs/>
          <w:color w:val="000000" w:themeColor="text1"/>
          <w:sz w:val="24"/>
          <w:szCs w:val="24"/>
        </w:rPr>
        <w:t>Workers' Compensation: The Dual-Capacity Doctrine,</w:t>
      </w:r>
      <w:r w:rsidRPr="007C302D">
        <w:rPr>
          <w:rFonts w:ascii="Times New Roman" w:eastAsia="Times New Roman" w:hAnsi="Times New Roman" w:cs="Times New Roman"/>
          <w:color w:val="000000" w:themeColor="text1"/>
          <w:sz w:val="24"/>
          <w:szCs w:val="24"/>
        </w:rPr>
        <w:t xml:space="preserve"> 6 Wm. </w:t>
      </w:r>
      <w:r w:rsidR="00055BEE">
        <w:rPr>
          <w:rFonts w:ascii="Times New Roman" w:eastAsia="Times New Roman" w:hAnsi="Times New Roman" w:cs="Times New Roman"/>
          <w:color w:val="000000" w:themeColor="text1"/>
          <w:sz w:val="24"/>
          <w:szCs w:val="24"/>
        </w:rPr>
        <w:t>Mitchell L.Rev. 813, 814 (1980);</w:t>
      </w:r>
      <w:r w:rsidRPr="007C302D">
        <w:rPr>
          <w:rFonts w:ascii="Times New Roman" w:eastAsia="Times New Roman" w:hAnsi="Times New Roman" w:cs="Times New Roman"/>
          <w:color w:val="000000" w:themeColor="text1"/>
          <w:sz w:val="24"/>
          <w:szCs w:val="24"/>
        </w:rPr>
        <w:t xml:space="preserve"> </w:t>
      </w:r>
      <w:proofErr w:type="spellStart"/>
      <w:r w:rsidRPr="007C302D">
        <w:rPr>
          <w:rFonts w:ascii="Times New Roman" w:eastAsia="Times New Roman" w:hAnsi="Times New Roman" w:cs="Times New Roman"/>
          <w:color w:val="000000" w:themeColor="text1"/>
          <w:sz w:val="24"/>
          <w:szCs w:val="24"/>
          <w:u w:val="single"/>
        </w:rPr>
        <w:t>Kaess</w:t>
      </w:r>
      <w:proofErr w:type="spellEnd"/>
      <w:r w:rsidRPr="007C302D">
        <w:rPr>
          <w:rFonts w:ascii="Times New Roman" w:eastAsia="Times New Roman" w:hAnsi="Times New Roman" w:cs="Times New Roman"/>
          <w:color w:val="000000" w:themeColor="text1"/>
          <w:sz w:val="24"/>
          <w:szCs w:val="24"/>
          <w:u w:val="single"/>
        </w:rPr>
        <w:t xml:space="preserve"> v. Armstrong Cork</w:t>
      </w:r>
      <w:r w:rsidRPr="007C302D">
        <w:rPr>
          <w:rFonts w:ascii="Times New Roman" w:eastAsia="Times New Roman" w:hAnsi="Times New Roman" w:cs="Times New Roman"/>
          <w:color w:val="000000" w:themeColor="text1"/>
          <w:sz w:val="24"/>
          <w:szCs w:val="24"/>
        </w:rPr>
        <w:t>, 403 N.W.</w:t>
      </w:r>
      <w:r w:rsidR="00055BEE">
        <w:rPr>
          <w:rFonts w:ascii="Times New Roman" w:eastAsia="Times New Roman" w:hAnsi="Times New Roman" w:cs="Times New Roman"/>
          <w:color w:val="000000" w:themeColor="text1"/>
          <w:sz w:val="24"/>
          <w:szCs w:val="24"/>
        </w:rPr>
        <w:t xml:space="preserve"> 2d 643, </w:t>
      </w:r>
      <w:proofErr w:type="gramStart"/>
      <w:r w:rsidR="00055BEE">
        <w:rPr>
          <w:rFonts w:ascii="Times New Roman" w:eastAsia="Times New Roman" w:hAnsi="Times New Roman" w:cs="Times New Roman"/>
          <w:color w:val="000000" w:themeColor="text1"/>
          <w:sz w:val="24"/>
          <w:szCs w:val="24"/>
        </w:rPr>
        <w:t>645</w:t>
      </w:r>
      <w:r w:rsidRPr="007C302D">
        <w:rPr>
          <w:rFonts w:ascii="Times New Roman" w:eastAsia="Times New Roman" w:hAnsi="Times New Roman" w:cs="Times New Roman"/>
          <w:color w:val="000000" w:themeColor="text1"/>
          <w:sz w:val="24"/>
          <w:szCs w:val="24"/>
        </w:rPr>
        <w:t xml:space="preserve">  (</w:t>
      </w:r>
      <w:proofErr w:type="gramEnd"/>
      <w:r w:rsidRPr="007C302D">
        <w:rPr>
          <w:rFonts w:ascii="Times New Roman" w:eastAsia="Times New Roman" w:hAnsi="Times New Roman" w:cs="Times New Roman"/>
          <w:color w:val="000000" w:themeColor="text1"/>
          <w:sz w:val="24"/>
          <w:szCs w:val="24"/>
        </w:rPr>
        <w:t>Minn.1987).</w:t>
      </w:r>
    </w:p>
    <w:p w:rsidR="000C60E9" w:rsidRDefault="000C60E9" w:rsidP="000C60E9">
      <w:pPr>
        <w:spacing w:after="0" w:line="240" w:lineRule="auto"/>
        <w:rPr>
          <w:rFonts w:ascii="Times New Roman" w:eastAsia="Times New Roman" w:hAnsi="Times New Roman" w:cs="Times New Roman"/>
          <w:color w:val="000000" w:themeColor="text1"/>
          <w:sz w:val="24"/>
          <w:szCs w:val="24"/>
        </w:rPr>
      </w:pPr>
    </w:p>
    <w:p w:rsidR="00202764" w:rsidRPr="00081262" w:rsidRDefault="00202764" w:rsidP="00081262">
      <w:pPr>
        <w:spacing w:after="0" w:line="240" w:lineRule="auto"/>
        <w:ind w:left="720"/>
        <w:rPr>
          <w:rFonts w:ascii="Times New Roman" w:hAnsi="Times New Roman" w:cs="Times New Roman"/>
          <w:color w:val="000000" w:themeColor="text1"/>
          <w:sz w:val="20"/>
          <w:szCs w:val="20"/>
        </w:rPr>
      </w:pPr>
      <w:r w:rsidRPr="007C302D">
        <w:rPr>
          <w:rFonts w:ascii="Times New Roman" w:eastAsia="Times New Roman" w:hAnsi="Times New Roman" w:cs="Times New Roman"/>
          <w:color w:val="000000" w:themeColor="text1"/>
          <w:sz w:val="24"/>
          <w:szCs w:val="24"/>
        </w:rPr>
        <w:t xml:space="preserve">However, as the </w:t>
      </w:r>
      <w:r w:rsidRPr="007C302D">
        <w:rPr>
          <w:rFonts w:ascii="Times New Roman" w:eastAsia="Times New Roman" w:hAnsi="Times New Roman" w:cs="Times New Roman"/>
          <w:color w:val="000000" w:themeColor="text1"/>
          <w:sz w:val="24"/>
          <w:szCs w:val="24"/>
          <w:u w:val="single"/>
        </w:rPr>
        <w:t>Kaess</w:t>
      </w:r>
      <w:r w:rsidRPr="007C302D">
        <w:rPr>
          <w:rFonts w:ascii="Times New Roman" w:eastAsia="Times New Roman" w:hAnsi="Times New Roman" w:cs="Times New Roman"/>
          <w:color w:val="000000" w:themeColor="text1"/>
          <w:sz w:val="24"/>
          <w:szCs w:val="24"/>
        </w:rPr>
        <w:t xml:space="preserve"> court noted, “</w:t>
      </w:r>
      <w:r w:rsidRPr="007C302D">
        <w:rPr>
          <w:rFonts w:ascii="Times New Roman" w:hAnsi="Times New Roman" w:cs="Times New Roman"/>
          <w:color w:val="000000" w:themeColor="text1"/>
          <w:sz w:val="24"/>
          <w:szCs w:val="24"/>
        </w:rPr>
        <w:t>Larson has abandoned the "dual capacity" doctrine, explaining that it has been overextended and misapplied and that because of the many possible different relationships of an employer-landowner, product manufacturer, installer, modifi</w:t>
      </w:r>
      <w:r w:rsidR="00055BEE">
        <w:rPr>
          <w:rFonts w:ascii="Times New Roman" w:hAnsi="Times New Roman" w:cs="Times New Roman"/>
          <w:color w:val="000000" w:themeColor="text1"/>
          <w:sz w:val="24"/>
          <w:szCs w:val="24"/>
        </w:rPr>
        <w:t xml:space="preserve">er, doctor, insurer, etc.  </w:t>
      </w:r>
      <w:proofErr w:type="gramStart"/>
      <w:r w:rsidR="00055BEE">
        <w:rPr>
          <w:rFonts w:ascii="Times New Roman" w:hAnsi="Times New Roman" w:cs="Times New Roman"/>
          <w:color w:val="000000" w:themeColor="text1"/>
          <w:sz w:val="24"/>
          <w:szCs w:val="24"/>
        </w:rPr>
        <w:t>the</w:t>
      </w:r>
      <w:proofErr w:type="gramEnd"/>
      <w:r w:rsidR="00055BEE">
        <w:rPr>
          <w:rFonts w:ascii="Times New Roman" w:hAnsi="Times New Roman" w:cs="Times New Roman"/>
          <w:color w:val="000000" w:themeColor="text1"/>
          <w:sz w:val="24"/>
          <w:szCs w:val="24"/>
        </w:rPr>
        <w:t xml:space="preserve"> ‘dual capacity’</w:t>
      </w:r>
      <w:r w:rsidRPr="007C302D">
        <w:rPr>
          <w:rFonts w:ascii="Times New Roman" w:hAnsi="Times New Roman" w:cs="Times New Roman"/>
          <w:color w:val="000000" w:themeColor="text1"/>
          <w:sz w:val="24"/>
          <w:szCs w:val="24"/>
        </w:rPr>
        <w:t xml:space="preserve"> doctrine would go far toward abolishing the exclusive remedy principle. 2A A. Larson, </w:t>
      </w:r>
      <w:proofErr w:type="gramStart"/>
      <w:r w:rsidRPr="007C302D">
        <w:rPr>
          <w:rFonts w:ascii="Times New Roman" w:hAnsi="Times New Roman" w:cs="Times New Roman"/>
          <w:i/>
          <w:iCs/>
          <w:color w:val="000000" w:themeColor="text1"/>
          <w:sz w:val="24"/>
          <w:szCs w:val="24"/>
        </w:rPr>
        <w:t>The</w:t>
      </w:r>
      <w:proofErr w:type="gramEnd"/>
      <w:r w:rsidRPr="007C302D">
        <w:rPr>
          <w:rFonts w:ascii="Times New Roman" w:hAnsi="Times New Roman" w:cs="Times New Roman"/>
          <w:i/>
          <w:iCs/>
          <w:color w:val="000000" w:themeColor="text1"/>
          <w:sz w:val="24"/>
          <w:szCs w:val="24"/>
        </w:rPr>
        <w:t xml:space="preserve"> Law of Workmen's Compensation</w:t>
      </w:r>
      <w:r w:rsidRPr="007C302D">
        <w:rPr>
          <w:rFonts w:ascii="Times New Roman" w:hAnsi="Times New Roman" w:cs="Times New Roman"/>
          <w:color w:val="000000" w:themeColor="text1"/>
          <w:sz w:val="24"/>
          <w:szCs w:val="24"/>
        </w:rPr>
        <w:t xml:space="preserve"> § 72.81, at 14-230 (1983).</w:t>
      </w:r>
      <w:r w:rsidR="00055BEE">
        <w:rPr>
          <w:rFonts w:ascii="Times New Roman" w:hAnsi="Times New Roman" w:cs="Times New Roman"/>
          <w:color w:val="000000" w:themeColor="text1"/>
          <w:sz w:val="24"/>
          <w:szCs w:val="24"/>
        </w:rPr>
        <w:t xml:space="preserve">” </w:t>
      </w:r>
      <w:r w:rsidRPr="007C302D">
        <w:rPr>
          <w:rFonts w:ascii="Times New Roman" w:hAnsi="Times New Roman" w:cs="Times New Roman"/>
          <w:color w:val="000000" w:themeColor="text1"/>
          <w:sz w:val="24"/>
          <w:szCs w:val="24"/>
        </w:rPr>
        <w:t xml:space="preserve">To date, although no published Minnesota cases have adopted the Dual Capacity doctrine, neither has the Supreme Court flat out held that the Dual Capacity doctrine does not apply in </w:t>
      </w:r>
      <w:proofErr w:type="gramStart"/>
      <w:r w:rsidRPr="007C302D">
        <w:rPr>
          <w:rFonts w:ascii="Times New Roman" w:hAnsi="Times New Roman" w:cs="Times New Roman"/>
          <w:color w:val="000000" w:themeColor="text1"/>
          <w:sz w:val="24"/>
          <w:szCs w:val="24"/>
        </w:rPr>
        <w:t>Minnesota.</w:t>
      </w:r>
      <w:proofErr w:type="gramEnd"/>
      <w:r w:rsidRPr="007C302D">
        <w:rPr>
          <w:rFonts w:ascii="Times New Roman" w:hAnsi="Times New Roman" w:cs="Times New Roman"/>
          <w:color w:val="000000" w:themeColor="text1"/>
          <w:sz w:val="24"/>
          <w:szCs w:val="24"/>
        </w:rPr>
        <w:t xml:space="preserve"> </w:t>
      </w:r>
      <w:r w:rsidR="00DD186E" w:rsidRPr="007C302D">
        <w:rPr>
          <w:rFonts w:ascii="Times New Roman" w:hAnsi="Times New Roman" w:cs="Times New Roman"/>
          <w:color w:val="000000" w:themeColor="text1"/>
          <w:sz w:val="24"/>
          <w:szCs w:val="24"/>
        </w:rPr>
        <w:t xml:space="preserve"> </w:t>
      </w:r>
      <w:r w:rsidR="00DD186E" w:rsidRPr="007C302D">
        <w:rPr>
          <w:rFonts w:ascii="Times New Roman" w:hAnsi="Times New Roman" w:cs="Times New Roman"/>
          <w:color w:val="000000" w:themeColor="text1"/>
          <w:sz w:val="24"/>
          <w:szCs w:val="24"/>
          <w:u w:val="single"/>
        </w:rPr>
        <w:t>Id.</w:t>
      </w:r>
      <w:r w:rsidR="00055BEE">
        <w:rPr>
          <w:rFonts w:ascii="Times New Roman" w:hAnsi="Times New Roman" w:cs="Times New Roman"/>
          <w:color w:val="000000" w:themeColor="text1"/>
          <w:sz w:val="24"/>
          <w:szCs w:val="24"/>
        </w:rPr>
        <w:t xml:space="preserve"> </w:t>
      </w:r>
      <w:r w:rsidR="00DD186E" w:rsidRPr="007C302D">
        <w:rPr>
          <w:rFonts w:ascii="Times New Roman" w:hAnsi="Times New Roman" w:cs="Times New Roman"/>
          <w:color w:val="000000" w:themeColor="text1"/>
          <w:sz w:val="24"/>
          <w:szCs w:val="24"/>
        </w:rPr>
        <w:t xml:space="preserve">(“Thus even if the "dual capacity" doctrine were to be recognized in Minnesota, it would not in this case permit a suit against MacArthur”), </w:t>
      </w:r>
      <w:r w:rsidR="00DD186E" w:rsidRPr="007C302D">
        <w:rPr>
          <w:rFonts w:ascii="Times New Roman" w:hAnsi="Times New Roman" w:cs="Times New Roman"/>
          <w:color w:val="000000" w:themeColor="text1"/>
          <w:sz w:val="24"/>
          <w:szCs w:val="24"/>
          <w:u w:val="single"/>
        </w:rPr>
        <w:t>see also</w:t>
      </w:r>
      <w:r w:rsidR="00DD186E" w:rsidRPr="007C302D">
        <w:rPr>
          <w:rFonts w:ascii="Times New Roman" w:hAnsi="Times New Roman" w:cs="Times New Roman"/>
          <w:color w:val="000000" w:themeColor="text1"/>
          <w:sz w:val="24"/>
          <w:szCs w:val="24"/>
        </w:rPr>
        <w:t xml:space="preserve">, </w:t>
      </w:r>
      <w:r w:rsidR="00DD186E" w:rsidRPr="007C302D">
        <w:rPr>
          <w:rFonts w:ascii="Times New Roman" w:hAnsi="Times New Roman" w:cs="Times New Roman"/>
          <w:color w:val="000000" w:themeColor="text1"/>
          <w:sz w:val="24"/>
          <w:szCs w:val="24"/>
          <w:u w:val="single"/>
        </w:rPr>
        <w:t>Terveer v. Norling Bros. Silo Co.</w:t>
      </w:r>
      <w:r w:rsidR="00DD186E" w:rsidRPr="007C302D">
        <w:rPr>
          <w:rFonts w:ascii="Times New Roman" w:hAnsi="Times New Roman" w:cs="Times New Roman"/>
          <w:color w:val="000000" w:themeColor="text1"/>
          <w:sz w:val="24"/>
          <w:szCs w:val="24"/>
        </w:rPr>
        <w:t xml:space="preserve">, 365 </w:t>
      </w:r>
      <w:r w:rsidR="00DD186E" w:rsidRPr="007C302D">
        <w:rPr>
          <w:rFonts w:ascii="Times New Roman" w:hAnsi="Times New Roman" w:cs="Times New Roman"/>
          <w:color w:val="000000" w:themeColor="text1"/>
          <w:sz w:val="24"/>
          <w:szCs w:val="24"/>
        </w:rPr>
        <w:lastRenderedPageBreak/>
        <w:t xml:space="preserve">N.W.2d 279 (Minn. App 1985), and </w:t>
      </w:r>
      <w:r w:rsidR="00DD186E" w:rsidRPr="007C302D">
        <w:rPr>
          <w:rFonts w:ascii="Times New Roman" w:hAnsi="Times New Roman" w:cs="Times New Roman"/>
          <w:color w:val="000000" w:themeColor="text1"/>
          <w:sz w:val="24"/>
          <w:szCs w:val="24"/>
          <w:u w:val="single"/>
        </w:rPr>
        <w:t>Egeland v. State</w:t>
      </w:r>
      <w:r w:rsidR="00DD186E" w:rsidRPr="007C302D">
        <w:rPr>
          <w:rFonts w:ascii="Times New Roman" w:hAnsi="Times New Roman" w:cs="Times New Roman"/>
          <w:color w:val="000000" w:themeColor="text1"/>
          <w:sz w:val="24"/>
          <w:szCs w:val="24"/>
        </w:rPr>
        <w:t>, 408 N.W. 2d 848 (Minn. 1987).</w:t>
      </w:r>
      <w:r w:rsidR="00DD186E" w:rsidRPr="007C302D">
        <w:rPr>
          <w:rStyle w:val="FootnoteReference"/>
          <w:rFonts w:ascii="Times New Roman" w:hAnsi="Times New Roman" w:cs="Times New Roman"/>
          <w:color w:val="000000" w:themeColor="text1"/>
          <w:sz w:val="24"/>
          <w:szCs w:val="24"/>
        </w:rPr>
        <w:footnoteReference w:id="5"/>
      </w:r>
      <w:r w:rsidR="00DD186E" w:rsidRPr="007C302D">
        <w:rPr>
          <w:rFonts w:ascii="Times New Roman" w:hAnsi="Times New Roman" w:cs="Times New Roman"/>
          <w:color w:val="000000" w:themeColor="text1"/>
          <w:sz w:val="24"/>
          <w:szCs w:val="24"/>
        </w:rPr>
        <w:t xml:space="preserve"> </w:t>
      </w:r>
      <w:r w:rsidR="008A72EE">
        <w:rPr>
          <w:rFonts w:ascii="Times New Roman" w:hAnsi="Times New Roman" w:cs="Times New Roman"/>
          <w:color w:val="000000" w:themeColor="text1"/>
          <w:sz w:val="24"/>
          <w:szCs w:val="24"/>
        </w:rPr>
        <w:t xml:space="preserve"> </w:t>
      </w:r>
      <w:r w:rsidR="00BF3FBF" w:rsidRPr="007C302D">
        <w:rPr>
          <w:rFonts w:ascii="Times New Roman" w:hAnsi="Times New Roman" w:cs="Times New Roman"/>
          <w:color w:val="000000" w:themeColor="text1"/>
          <w:sz w:val="24"/>
          <w:szCs w:val="24"/>
        </w:rPr>
        <w:t xml:space="preserve">Perhaps a creative plaintiff’s lawyer can find a path through the </w:t>
      </w:r>
      <w:r w:rsidR="00BF3FBF" w:rsidRPr="005D6511">
        <w:rPr>
          <w:rFonts w:ascii="Times New Roman" w:hAnsi="Times New Roman" w:cs="Times New Roman"/>
          <w:color w:val="000000" w:themeColor="text1"/>
          <w:sz w:val="24"/>
          <w:szCs w:val="24"/>
        </w:rPr>
        <w:t xml:space="preserve">existing case law, but as </w:t>
      </w:r>
      <w:r w:rsidR="00BF3FBF" w:rsidRPr="005D6511">
        <w:rPr>
          <w:rFonts w:ascii="Times New Roman" w:hAnsi="Times New Roman" w:cs="Times New Roman"/>
          <w:color w:val="000000" w:themeColor="text1"/>
          <w:sz w:val="24"/>
          <w:szCs w:val="24"/>
          <w:u w:val="single"/>
        </w:rPr>
        <w:t xml:space="preserve">Kaess </w:t>
      </w:r>
      <w:r w:rsidR="00BF3FBF" w:rsidRPr="005D6511">
        <w:rPr>
          <w:rFonts w:ascii="Times New Roman" w:hAnsi="Times New Roman" w:cs="Times New Roman"/>
          <w:color w:val="000000" w:themeColor="text1"/>
          <w:sz w:val="24"/>
          <w:szCs w:val="24"/>
        </w:rPr>
        <w:t>and</w:t>
      </w:r>
      <w:r w:rsidR="00BF3FBF" w:rsidRPr="005D6511">
        <w:rPr>
          <w:rFonts w:ascii="Times New Roman" w:hAnsi="Times New Roman" w:cs="Times New Roman"/>
          <w:color w:val="000000" w:themeColor="text1"/>
          <w:sz w:val="24"/>
          <w:szCs w:val="24"/>
          <w:u w:val="single"/>
        </w:rPr>
        <w:t xml:space="preserve"> Egelund</w:t>
      </w:r>
      <w:r w:rsidR="00BF3FBF" w:rsidRPr="005D6511">
        <w:rPr>
          <w:rFonts w:ascii="Times New Roman" w:hAnsi="Times New Roman" w:cs="Times New Roman"/>
          <w:color w:val="000000" w:themeColor="text1"/>
          <w:sz w:val="24"/>
          <w:szCs w:val="24"/>
        </w:rPr>
        <w:t xml:space="preserve"> indicate, the path would be very narrow and hard to navigate</w:t>
      </w:r>
      <w:r w:rsidR="00BF3FBF" w:rsidRPr="00081262">
        <w:rPr>
          <w:rFonts w:ascii="Times New Roman" w:hAnsi="Times New Roman" w:cs="Times New Roman"/>
          <w:color w:val="000000" w:themeColor="text1"/>
          <w:sz w:val="20"/>
          <w:szCs w:val="20"/>
        </w:rPr>
        <w:t>.</w:t>
      </w:r>
    </w:p>
    <w:p w:rsidR="00BF3FBF" w:rsidRPr="00777804" w:rsidRDefault="0017026C" w:rsidP="00081262">
      <w:pPr>
        <w:pStyle w:val="ListParagraph"/>
        <w:numPr>
          <w:ilvl w:val="0"/>
          <w:numId w:val="10"/>
        </w:numPr>
        <w:spacing w:after="0" w:line="240" w:lineRule="auto"/>
        <w:ind w:left="1440" w:hanging="720"/>
        <w:rPr>
          <w:rFonts w:ascii="Times New Roman" w:eastAsia="Times New Roman" w:hAnsi="Times New Roman" w:cs="Times New Roman"/>
          <w:color w:val="000000" w:themeColor="text1"/>
          <w:sz w:val="24"/>
          <w:szCs w:val="24"/>
        </w:rPr>
      </w:pPr>
      <w:r w:rsidRPr="00777804">
        <w:rPr>
          <w:rFonts w:ascii="Times New Roman" w:eastAsia="Times New Roman" w:hAnsi="Times New Roman" w:cs="Times New Roman"/>
          <w:color w:val="000000" w:themeColor="text1"/>
          <w:sz w:val="24"/>
          <w:szCs w:val="24"/>
        </w:rPr>
        <w:t xml:space="preserve">Dual Persona </w:t>
      </w:r>
      <w:r w:rsidR="00A43AFB" w:rsidRPr="00777804">
        <w:rPr>
          <w:rFonts w:ascii="Times New Roman" w:eastAsia="Times New Roman" w:hAnsi="Times New Roman" w:cs="Times New Roman"/>
          <w:color w:val="000000" w:themeColor="text1"/>
          <w:sz w:val="24"/>
          <w:szCs w:val="24"/>
        </w:rPr>
        <w:t>D</w:t>
      </w:r>
      <w:r w:rsidRPr="00777804">
        <w:rPr>
          <w:rFonts w:ascii="Times New Roman" w:eastAsia="Times New Roman" w:hAnsi="Times New Roman" w:cs="Times New Roman"/>
          <w:color w:val="000000" w:themeColor="text1"/>
          <w:sz w:val="24"/>
          <w:szCs w:val="24"/>
        </w:rPr>
        <w:t>octrine</w:t>
      </w:r>
      <w:r w:rsidR="00DD186E" w:rsidRPr="00777804">
        <w:rPr>
          <w:rFonts w:ascii="Times New Roman" w:hAnsi="Times New Roman" w:cs="Times New Roman"/>
          <w:color w:val="000000" w:themeColor="text1"/>
          <w:sz w:val="24"/>
          <w:szCs w:val="24"/>
          <w:u w:val="single"/>
        </w:rPr>
        <w:t xml:space="preserve"> </w:t>
      </w:r>
    </w:p>
    <w:p w:rsidR="008A72EE" w:rsidRPr="008A72EE" w:rsidRDefault="008A72EE" w:rsidP="008A72EE">
      <w:pPr>
        <w:pStyle w:val="ListParagraph"/>
        <w:spacing w:after="0" w:line="240" w:lineRule="auto"/>
        <w:ind w:left="1200"/>
        <w:rPr>
          <w:rFonts w:ascii="Times New Roman" w:eastAsia="Times New Roman" w:hAnsi="Times New Roman" w:cs="Times New Roman"/>
          <w:b/>
          <w:color w:val="333333"/>
          <w:sz w:val="24"/>
          <w:szCs w:val="24"/>
        </w:rPr>
      </w:pPr>
    </w:p>
    <w:p w:rsidR="00081262" w:rsidRDefault="00BF3FBF" w:rsidP="00081262">
      <w:pPr>
        <w:spacing w:after="0" w:line="240" w:lineRule="auto"/>
        <w:ind w:left="720"/>
        <w:rPr>
          <w:rFonts w:ascii="Times New Roman" w:hAnsi="Times New Roman" w:cs="Times New Roman"/>
          <w:sz w:val="24"/>
          <w:szCs w:val="24"/>
        </w:rPr>
      </w:pPr>
      <w:r w:rsidRPr="00C268AF">
        <w:rPr>
          <w:rFonts w:ascii="Times New Roman" w:hAnsi="Times New Roman" w:cs="Times New Roman"/>
          <w:sz w:val="24"/>
          <w:szCs w:val="24"/>
        </w:rPr>
        <w:t xml:space="preserve">As the Court in </w:t>
      </w:r>
      <w:r w:rsidRPr="00C268AF">
        <w:rPr>
          <w:rFonts w:ascii="Times New Roman" w:hAnsi="Times New Roman" w:cs="Times New Roman"/>
          <w:sz w:val="24"/>
          <w:szCs w:val="24"/>
          <w:u w:val="single"/>
        </w:rPr>
        <w:t>Kaess</w:t>
      </w:r>
      <w:r w:rsidRPr="00C268AF">
        <w:rPr>
          <w:rFonts w:ascii="Times New Roman" w:hAnsi="Times New Roman" w:cs="Times New Roman"/>
          <w:sz w:val="24"/>
          <w:szCs w:val="24"/>
        </w:rPr>
        <w:t xml:space="preserve"> pointed out, Professor Larson has refined the Dual Capacity doctrine to the doctrine known as the “Dual Persona” doctrine. This doctrine provides: </w:t>
      </w:r>
    </w:p>
    <w:p w:rsidR="00081262" w:rsidRDefault="00081262" w:rsidP="00081262">
      <w:pPr>
        <w:spacing w:after="0" w:line="240" w:lineRule="auto"/>
        <w:ind w:left="1440"/>
        <w:rPr>
          <w:rFonts w:ascii="Times New Roman" w:hAnsi="Times New Roman" w:cs="Times New Roman"/>
          <w:sz w:val="24"/>
          <w:szCs w:val="24"/>
        </w:rPr>
      </w:pPr>
    </w:p>
    <w:p w:rsidR="00BF3FBF" w:rsidRPr="00C268AF" w:rsidRDefault="00BF3FBF" w:rsidP="009131A9">
      <w:pPr>
        <w:spacing w:line="240" w:lineRule="auto"/>
        <w:ind w:left="1440" w:right="720"/>
        <w:rPr>
          <w:rFonts w:ascii="Times New Roman" w:eastAsia="Times New Roman" w:hAnsi="Times New Roman" w:cs="Times New Roman"/>
          <w:sz w:val="24"/>
          <w:szCs w:val="24"/>
        </w:rPr>
      </w:pPr>
      <w:r w:rsidRPr="00C268AF">
        <w:rPr>
          <w:rFonts w:ascii="Times New Roman" w:hAnsi="Times New Roman" w:cs="Times New Roman"/>
          <w:sz w:val="24"/>
          <w:szCs w:val="24"/>
        </w:rPr>
        <w:lastRenderedPageBreak/>
        <w:t>“</w:t>
      </w:r>
      <w:r w:rsidRPr="00C268AF">
        <w:rPr>
          <w:rFonts w:ascii="Times New Roman" w:eastAsia="Times New Roman" w:hAnsi="Times New Roman" w:cs="Times New Roman"/>
          <w:sz w:val="24"/>
          <w:szCs w:val="24"/>
        </w:rPr>
        <w:t xml:space="preserve">An employer may become a third person, vulnerable to tort suit by an employee, if and only if </w:t>
      </w:r>
      <w:r w:rsidRPr="00C268AF">
        <w:rPr>
          <w:rFonts w:ascii="Calibri" w:eastAsia="Times New Roman" w:hAnsi="Calibri" w:cs="Times New Roman"/>
          <w:sz w:val="24"/>
          <w:szCs w:val="24"/>
        </w:rPr>
        <w:t></w:t>
      </w:r>
      <w:r w:rsidRPr="00C268AF">
        <w:rPr>
          <w:rFonts w:ascii="Times New Roman" w:eastAsia="Times New Roman" w:hAnsi="Times New Roman" w:cs="Times New Roman"/>
          <w:sz w:val="24"/>
          <w:szCs w:val="24"/>
        </w:rPr>
        <w:t xml:space="preserve"> he possesses a second persona so completely independent from and unrelated to his status as employer that by established standards the law recognizes it as a separate legal person.</w:t>
      </w:r>
      <w:r w:rsidR="00887C70">
        <w:rPr>
          <w:rFonts w:ascii="Times New Roman" w:eastAsia="Times New Roman" w:hAnsi="Times New Roman" w:cs="Times New Roman"/>
          <w:sz w:val="24"/>
          <w:szCs w:val="24"/>
        </w:rPr>
        <w:t>”</w:t>
      </w:r>
      <w:r w:rsidR="00054BA4">
        <w:rPr>
          <w:rFonts w:ascii="Times New Roman" w:eastAsia="Times New Roman" w:hAnsi="Times New Roman" w:cs="Times New Roman"/>
          <w:sz w:val="24"/>
          <w:szCs w:val="24"/>
        </w:rPr>
        <w:t xml:space="preserve">  </w:t>
      </w:r>
      <w:r w:rsidRPr="00C268AF">
        <w:rPr>
          <w:rFonts w:ascii="Times New Roman" w:eastAsia="Times New Roman" w:hAnsi="Times New Roman" w:cs="Times New Roman"/>
          <w:sz w:val="24"/>
          <w:szCs w:val="24"/>
        </w:rPr>
        <w:t xml:space="preserve">2A A. Larson, </w:t>
      </w:r>
      <w:r w:rsidRPr="00C268AF">
        <w:rPr>
          <w:rFonts w:ascii="Times New Roman" w:eastAsia="Times New Roman" w:hAnsi="Times New Roman" w:cs="Times New Roman"/>
          <w:i/>
          <w:iCs/>
          <w:sz w:val="24"/>
          <w:szCs w:val="24"/>
        </w:rPr>
        <w:t>supra,</w:t>
      </w:r>
      <w:r w:rsidRPr="00C268AF">
        <w:rPr>
          <w:rFonts w:ascii="Times New Roman" w:eastAsia="Times New Roman" w:hAnsi="Times New Roman" w:cs="Times New Roman"/>
          <w:sz w:val="24"/>
          <w:szCs w:val="24"/>
        </w:rPr>
        <w:t xml:space="preserve"> § 72.81, at 14-229.” </w:t>
      </w:r>
      <w:r w:rsidRPr="00C268AF">
        <w:rPr>
          <w:rFonts w:ascii="Times New Roman" w:eastAsia="Times New Roman" w:hAnsi="Times New Roman" w:cs="Times New Roman"/>
          <w:sz w:val="24"/>
          <w:szCs w:val="24"/>
          <w:u w:val="single"/>
        </w:rPr>
        <w:t>Kaess</w:t>
      </w:r>
      <w:r w:rsidR="00055BEE">
        <w:rPr>
          <w:rFonts w:ascii="Times New Roman" w:eastAsia="Times New Roman" w:hAnsi="Times New Roman" w:cs="Times New Roman"/>
          <w:sz w:val="24"/>
          <w:szCs w:val="24"/>
        </w:rPr>
        <w:t>, 403 N.W. 2d at 645</w:t>
      </w:r>
      <w:r w:rsidRPr="00C268AF">
        <w:rPr>
          <w:rFonts w:ascii="Times New Roman" w:eastAsia="Times New Roman" w:hAnsi="Times New Roman" w:cs="Times New Roman"/>
          <w:sz w:val="24"/>
          <w:szCs w:val="24"/>
        </w:rPr>
        <w:t xml:space="preserve">. </w:t>
      </w:r>
    </w:p>
    <w:p w:rsidR="00EF7CE6" w:rsidRPr="00C268AF" w:rsidRDefault="00BF3FBF" w:rsidP="003E7774">
      <w:pPr>
        <w:spacing w:before="48" w:after="120" w:line="240" w:lineRule="auto"/>
        <w:ind w:left="720"/>
        <w:rPr>
          <w:rFonts w:ascii="Times New Roman" w:eastAsia="Times New Roman" w:hAnsi="Times New Roman" w:cs="Times New Roman"/>
          <w:color w:val="333333"/>
          <w:sz w:val="24"/>
          <w:szCs w:val="24"/>
        </w:rPr>
      </w:pPr>
      <w:r w:rsidRPr="00C268AF">
        <w:rPr>
          <w:rFonts w:ascii="Times New Roman" w:eastAsia="Times New Roman" w:hAnsi="Times New Roman" w:cs="Times New Roman"/>
          <w:sz w:val="24"/>
          <w:szCs w:val="24"/>
        </w:rPr>
        <w:t xml:space="preserve">However, even this narrow </w:t>
      </w:r>
      <w:r w:rsidR="00EF7CE6" w:rsidRPr="00C268AF">
        <w:rPr>
          <w:rFonts w:ascii="Times New Roman" w:eastAsia="Times New Roman" w:hAnsi="Times New Roman" w:cs="Times New Roman"/>
          <w:sz w:val="24"/>
          <w:szCs w:val="24"/>
        </w:rPr>
        <w:t xml:space="preserve">route around the workers’ compensation bar has met with hostility from Minnesota’s courts. In </w:t>
      </w:r>
      <w:r w:rsidR="00EF7CE6" w:rsidRPr="00C268AF">
        <w:rPr>
          <w:rFonts w:ascii="Times New Roman" w:eastAsia="Times New Roman" w:hAnsi="Times New Roman" w:cs="Times New Roman"/>
          <w:sz w:val="24"/>
          <w:szCs w:val="24"/>
          <w:u w:val="single"/>
        </w:rPr>
        <w:t>Kaess</w:t>
      </w:r>
      <w:r w:rsidR="00EF7CE6" w:rsidRPr="00C268AF">
        <w:rPr>
          <w:rFonts w:ascii="Times New Roman" w:eastAsia="Times New Roman" w:hAnsi="Times New Roman" w:cs="Times New Roman"/>
          <w:sz w:val="24"/>
          <w:szCs w:val="24"/>
        </w:rPr>
        <w:t xml:space="preserve">, the court found that the dual persona test was not met where the plaintiff worked for one division of his employer installing asbestos containing products and was injured by asbestos containing products manufactured by a different division of the same employer. In </w:t>
      </w:r>
      <w:r w:rsidR="00EF7CE6" w:rsidRPr="00C268AF">
        <w:rPr>
          <w:rFonts w:ascii="Times New Roman" w:eastAsia="Times New Roman" w:hAnsi="Times New Roman" w:cs="Times New Roman"/>
          <w:sz w:val="24"/>
          <w:szCs w:val="24"/>
          <w:u w:val="single"/>
        </w:rPr>
        <w:t>Egeland</w:t>
      </w:r>
      <w:r w:rsidR="00EF7CE6" w:rsidRPr="00C268AF">
        <w:rPr>
          <w:rFonts w:ascii="Times New Roman" w:eastAsia="Times New Roman" w:hAnsi="Times New Roman" w:cs="Times New Roman"/>
          <w:sz w:val="24"/>
          <w:szCs w:val="24"/>
        </w:rPr>
        <w:t xml:space="preserve">, the court found that the plaintiff, a county district court judge employed by the state of Minnesota could not sue the Minnesota Department of Transportation because they are not separate legal entities. </w:t>
      </w:r>
      <w:r w:rsidR="00EF7CE6" w:rsidRPr="00C268AF">
        <w:rPr>
          <w:rFonts w:ascii="Times New Roman" w:eastAsia="Times New Roman" w:hAnsi="Times New Roman" w:cs="Times New Roman"/>
          <w:sz w:val="24"/>
          <w:szCs w:val="24"/>
          <w:u w:val="single"/>
        </w:rPr>
        <w:t>See also</w:t>
      </w:r>
      <w:r w:rsidR="00EF7CE6" w:rsidRPr="00C268AF">
        <w:rPr>
          <w:rFonts w:ascii="Times New Roman" w:hAnsi="Times New Roman" w:cs="Times New Roman"/>
          <w:sz w:val="24"/>
          <w:szCs w:val="24"/>
        </w:rPr>
        <w:t xml:space="preserve"> </w:t>
      </w:r>
      <w:r w:rsidR="00EF7CE6" w:rsidRPr="00ED0F76">
        <w:rPr>
          <w:rFonts w:ascii="Times New Roman" w:hAnsi="Times New Roman" w:cs="Times New Roman"/>
          <w:sz w:val="24"/>
          <w:szCs w:val="24"/>
          <w:u w:val="single"/>
        </w:rPr>
        <w:t>Ytuarte</w:t>
      </w:r>
      <w:r w:rsidR="00EF7CE6" w:rsidRPr="00C268AF">
        <w:rPr>
          <w:rFonts w:ascii="Times New Roman" w:hAnsi="Times New Roman" w:cs="Times New Roman"/>
          <w:sz w:val="24"/>
          <w:szCs w:val="24"/>
          <w:u w:val="single"/>
        </w:rPr>
        <w:t xml:space="preserve"> v. Gruner +Jahr Printing and Publishing Co.</w:t>
      </w:r>
      <w:r w:rsidR="00EF7CE6" w:rsidRPr="00C268AF">
        <w:rPr>
          <w:rFonts w:ascii="Times New Roman" w:hAnsi="Times New Roman" w:cs="Times New Roman"/>
          <w:sz w:val="24"/>
          <w:szCs w:val="24"/>
        </w:rPr>
        <w:t>, 935 F.2d 971 (8</w:t>
      </w:r>
      <w:r w:rsidR="00EF7CE6" w:rsidRPr="00C268AF">
        <w:rPr>
          <w:rFonts w:ascii="Times New Roman" w:hAnsi="Times New Roman" w:cs="Times New Roman"/>
          <w:sz w:val="24"/>
          <w:szCs w:val="24"/>
          <w:vertAlign w:val="superscript"/>
        </w:rPr>
        <w:t>th</w:t>
      </w:r>
      <w:r w:rsidR="00EF7CE6" w:rsidRPr="00C268AF">
        <w:rPr>
          <w:rFonts w:ascii="Times New Roman" w:hAnsi="Times New Roman" w:cs="Times New Roman"/>
          <w:sz w:val="24"/>
          <w:szCs w:val="24"/>
        </w:rPr>
        <w:t xml:space="preserve"> Cir. 1991) (employer, as division of owner of building that collapsed, was not separate and distinct for purposes of Dual Persona doctrine). </w:t>
      </w:r>
    </w:p>
    <w:p w:rsidR="00054BA4" w:rsidRDefault="00054BA4" w:rsidP="00054BA4">
      <w:pPr>
        <w:spacing w:after="0" w:line="240" w:lineRule="auto"/>
        <w:jc w:val="center"/>
        <w:rPr>
          <w:rFonts w:ascii="Times New Roman" w:eastAsia="Times New Roman" w:hAnsi="Times New Roman" w:cs="Times New Roman"/>
          <w:b/>
          <w:color w:val="000000" w:themeColor="text1"/>
          <w:sz w:val="24"/>
          <w:szCs w:val="24"/>
          <w:u w:val="single"/>
        </w:rPr>
      </w:pPr>
    </w:p>
    <w:p w:rsidR="007B335B" w:rsidRPr="00081262" w:rsidRDefault="00D17179" w:rsidP="00081262">
      <w:pPr>
        <w:pStyle w:val="ListParagraph"/>
        <w:numPr>
          <w:ilvl w:val="0"/>
          <w:numId w:val="6"/>
        </w:numPr>
        <w:spacing w:after="0" w:line="240" w:lineRule="auto"/>
        <w:ind w:left="720"/>
        <w:rPr>
          <w:rFonts w:ascii="Times New Roman" w:eastAsia="Times New Roman" w:hAnsi="Times New Roman" w:cs="Times New Roman"/>
          <w:b/>
          <w:color w:val="000000" w:themeColor="text1"/>
          <w:sz w:val="24"/>
          <w:szCs w:val="24"/>
        </w:rPr>
      </w:pPr>
      <w:r w:rsidRPr="00081262">
        <w:rPr>
          <w:rFonts w:ascii="Times New Roman" w:eastAsia="Times New Roman" w:hAnsi="Times New Roman" w:cs="Times New Roman"/>
          <w:b/>
          <w:color w:val="000000" w:themeColor="text1"/>
          <w:sz w:val="24"/>
          <w:szCs w:val="24"/>
        </w:rPr>
        <w:t>Non-</w:t>
      </w:r>
      <w:r w:rsidR="009D62C2" w:rsidRPr="00081262">
        <w:rPr>
          <w:rFonts w:ascii="Times New Roman" w:eastAsia="Times New Roman" w:hAnsi="Times New Roman" w:cs="Times New Roman"/>
          <w:b/>
          <w:color w:val="000000" w:themeColor="text1"/>
          <w:sz w:val="24"/>
          <w:szCs w:val="24"/>
        </w:rPr>
        <w:t>E</w:t>
      </w:r>
      <w:r w:rsidRPr="00081262">
        <w:rPr>
          <w:rFonts w:ascii="Times New Roman" w:eastAsia="Times New Roman" w:hAnsi="Times New Roman" w:cs="Times New Roman"/>
          <w:b/>
          <w:color w:val="000000" w:themeColor="text1"/>
          <w:sz w:val="24"/>
          <w:szCs w:val="24"/>
        </w:rPr>
        <w:t xml:space="preserve">mployers </w:t>
      </w:r>
      <w:r w:rsidR="000D49A5" w:rsidRPr="00081262">
        <w:rPr>
          <w:rFonts w:ascii="Times New Roman" w:eastAsia="Times New Roman" w:hAnsi="Times New Roman" w:cs="Times New Roman"/>
          <w:b/>
          <w:color w:val="000000" w:themeColor="text1"/>
          <w:sz w:val="24"/>
          <w:szCs w:val="24"/>
        </w:rPr>
        <w:t>w</w:t>
      </w:r>
      <w:r w:rsidRPr="00081262">
        <w:rPr>
          <w:rFonts w:ascii="Times New Roman" w:eastAsia="Times New Roman" w:hAnsi="Times New Roman" w:cs="Times New Roman"/>
          <w:b/>
          <w:color w:val="000000" w:themeColor="text1"/>
          <w:sz w:val="24"/>
          <w:szCs w:val="24"/>
        </w:rPr>
        <w:t>ho ar</w:t>
      </w:r>
      <w:r w:rsidR="008027AB" w:rsidRPr="00081262">
        <w:rPr>
          <w:rFonts w:ascii="Times New Roman" w:eastAsia="Times New Roman" w:hAnsi="Times New Roman" w:cs="Times New Roman"/>
          <w:b/>
          <w:color w:val="000000" w:themeColor="text1"/>
          <w:sz w:val="24"/>
          <w:szCs w:val="24"/>
        </w:rPr>
        <w:t xml:space="preserve">e </w:t>
      </w:r>
      <w:r w:rsidR="009D62C2" w:rsidRPr="00081262">
        <w:rPr>
          <w:rFonts w:ascii="Times New Roman" w:eastAsia="Times New Roman" w:hAnsi="Times New Roman" w:cs="Times New Roman"/>
          <w:b/>
          <w:color w:val="000000" w:themeColor="text1"/>
          <w:sz w:val="24"/>
          <w:szCs w:val="24"/>
        </w:rPr>
        <w:t>B</w:t>
      </w:r>
      <w:r w:rsidR="008027AB" w:rsidRPr="00081262">
        <w:rPr>
          <w:rFonts w:ascii="Times New Roman" w:eastAsia="Times New Roman" w:hAnsi="Times New Roman" w:cs="Times New Roman"/>
          <w:b/>
          <w:color w:val="000000" w:themeColor="text1"/>
          <w:sz w:val="24"/>
          <w:szCs w:val="24"/>
        </w:rPr>
        <w:t xml:space="preserve">eneficiaries of the </w:t>
      </w:r>
      <w:r w:rsidR="009D62C2" w:rsidRPr="00081262">
        <w:rPr>
          <w:rFonts w:ascii="Times New Roman" w:eastAsia="Times New Roman" w:hAnsi="Times New Roman" w:cs="Times New Roman"/>
          <w:b/>
          <w:color w:val="000000" w:themeColor="text1"/>
          <w:sz w:val="24"/>
          <w:szCs w:val="24"/>
        </w:rPr>
        <w:t>W</w:t>
      </w:r>
      <w:r w:rsidR="008027AB" w:rsidRPr="00081262">
        <w:rPr>
          <w:rFonts w:ascii="Times New Roman" w:eastAsia="Times New Roman" w:hAnsi="Times New Roman" w:cs="Times New Roman"/>
          <w:b/>
          <w:color w:val="000000" w:themeColor="text1"/>
          <w:sz w:val="24"/>
          <w:szCs w:val="24"/>
        </w:rPr>
        <w:t>orkers’</w:t>
      </w:r>
      <w:r w:rsidRPr="00081262">
        <w:rPr>
          <w:rFonts w:ascii="Times New Roman" w:eastAsia="Times New Roman" w:hAnsi="Times New Roman" w:cs="Times New Roman"/>
          <w:b/>
          <w:color w:val="000000" w:themeColor="text1"/>
          <w:sz w:val="24"/>
          <w:szCs w:val="24"/>
        </w:rPr>
        <w:t xml:space="preserve"> </w:t>
      </w:r>
      <w:r w:rsidR="009D62C2" w:rsidRPr="00081262">
        <w:rPr>
          <w:rFonts w:ascii="Times New Roman" w:eastAsia="Times New Roman" w:hAnsi="Times New Roman" w:cs="Times New Roman"/>
          <w:b/>
          <w:color w:val="000000" w:themeColor="text1"/>
          <w:sz w:val="24"/>
          <w:szCs w:val="24"/>
        </w:rPr>
        <w:t>C</w:t>
      </w:r>
      <w:r w:rsidRPr="00081262">
        <w:rPr>
          <w:rFonts w:ascii="Times New Roman" w:eastAsia="Times New Roman" w:hAnsi="Times New Roman" w:cs="Times New Roman"/>
          <w:b/>
          <w:color w:val="000000" w:themeColor="text1"/>
          <w:sz w:val="24"/>
          <w:szCs w:val="24"/>
        </w:rPr>
        <w:t xml:space="preserve">ompensation </w:t>
      </w:r>
      <w:r w:rsidR="009D62C2" w:rsidRPr="00081262">
        <w:rPr>
          <w:rFonts w:ascii="Times New Roman" w:eastAsia="Times New Roman" w:hAnsi="Times New Roman" w:cs="Times New Roman"/>
          <w:b/>
          <w:color w:val="000000" w:themeColor="text1"/>
          <w:sz w:val="24"/>
          <w:szCs w:val="24"/>
        </w:rPr>
        <w:t>B</w:t>
      </w:r>
      <w:r w:rsidRPr="00081262">
        <w:rPr>
          <w:rFonts w:ascii="Times New Roman" w:eastAsia="Times New Roman" w:hAnsi="Times New Roman" w:cs="Times New Roman"/>
          <w:b/>
          <w:color w:val="000000" w:themeColor="text1"/>
          <w:sz w:val="24"/>
          <w:szCs w:val="24"/>
        </w:rPr>
        <w:t>ar</w:t>
      </w:r>
    </w:p>
    <w:p w:rsidR="00054BA4" w:rsidRPr="00054BA4" w:rsidRDefault="00054BA4" w:rsidP="00054BA4">
      <w:pPr>
        <w:spacing w:after="0" w:line="240" w:lineRule="auto"/>
        <w:jc w:val="center"/>
        <w:rPr>
          <w:rFonts w:ascii="Times New Roman" w:eastAsia="Times New Roman" w:hAnsi="Times New Roman" w:cs="Times New Roman"/>
          <w:b/>
          <w:color w:val="000000" w:themeColor="text1"/>
          <w:sz w:val="24"/>
          <w:szCs w:val="24"/>
          <w:u w:val="single"/>
        </w:rPr>
      </w:pPr>
    </w:p>
    <w:p w:rsidR="00D17179" w:rsidRPr="00777804" w:rsidRDefault="0024051C" w:rsidP="00081262">
      <w:pPr>
        <w:pStyle w:val="ListParagraph"/>
        <w:numPr>
          <w:ilvl w:val="0"/>
          <w:numId w:val="11"/>
        </w:numPr>
        <w:spacing w:after="0" w:line="240" w:lineRule="auto"/>
        <w:ind w:left="1440" w:hanging="720"/>
        <w:rPr>
          <w:rFonts w:ascii="Times New Roman" w:eastAsia="Times New Roman" w:hAnsi="Times New Roman" w:cs="Times New Roman"/>
          <w:color w:val="000000" w:themeColor="text1"/>
          <w:sz w:val="24"/>
          <w:szCs w:val="24"/>
        </w:rPr>
      </w:pPr>
      <w:r w:rsidRPr="00777804">
        <w:rPr>
          <w:rFonts w:ascii="Times New Roman" w:eastAsia="Times New Roman" w:hAnsi="Times New Roman" w:cs="Times New Roman"/>
          <w:color w:val="000000" w:themeColor="text1"/>
          <w:sz w:val="24"/>
          <w:szCs w:val="24"/>
        </w:rPr>
        <w:t>Common E</w:t>
      </w:r>
      <w:r w:rsidR="00D17179" w:rsidRPr="00777804">
        <w:rPr>
          <w:rFonts w:ascii="Times New Roman" w:eastAsia="Times New Roman" w:hAnsi="Times New Roman" w:cs="Times New Roman"/>
          <w:color w:val="000000" w:themeColor="text1"/>
          <w:sz w:val="24"/>
          <w:szCs w:val="24"/>
        </w:rPr>
        <w:t>nterprise</w:t>
      </w:r>
    </w:p>
    <w:p w:rsidR="00054BA4" w:rsidRDefault="00054BA4" w:rsidP="00054BA4">
      <w:pPr>
        <w:pStyle w:val="ListParagraph"/>
        <w:spacing w:after="0" w:line="240" w:lineRule="auto"/>
        <w:ind w:left="1440"/>
        <w:rPr>
          <w:rFonts w:ascii="Times New Roman" w:eastAsia="Times New Roman" w:hAnsi="Times New Roman" w:cs="Times New Roman"/>
          <w:b/>
          <w:color w:val="000000" w:themeColor="text1"/>
          <w:sz w:val="24"/>
          <w:szCs w:val="24"/>
        </w:rPr>
      </w:pPr>
    </w:p>
    <w:p w:rsidR="0024051C" w:rsidRPr="007A7351" w:rsidRDefault="0024051C" w:rsidP="003E7774">
      <w:pPr>
        <w:spacing w:after="0" w:line="240" w:lineRule="auto"/>
        <w:ind w:left="720"/>
        <w:rPr>
          <w:rFonts w:ascii="Times New Roman" w:hAnsi="Times New Roman" w:cs="Times New Roman"/>
          <w:sz w:val="24"/>
          <w:szCs w:val="24"/>
        </w:rPr>
      </w:pPr>
      <w:r w:rsidRPr="007A7351">
        <w:rPr>
          <w:rFonts w:ascii="Times New Roman" w:hAnsi="Times New Roman" w:cs="Times New Roman"/>
          <w:sz w:val="24"/>
          <w:szCs w:val="24"/>
        </w:rPr>
        <w:t xml:space="preserve">Minn. Stat. Sec. 176.061 subd. 1 and 4 work together to bar an employee of one participant in a common enterprise from suing the other participant in the common enterprise for negligence. The question is, when does a common enterprise exist. In </w:t>
      </w:r>
      <w:r w:rsidRPr="007A7351">
        <w:rPr>
          <w:rFonts w:ascii="Times New Roman" w:hAnsi="Times New Roman" w:cs="Times New Roman"/>
          <w:iCs/>
          <w:sz w:val="24"/>
          <w:szCs w:val="24"/>
          <w:u w:val="single"/>
        </w:rPr>
        <w:t>McCourtie v. US Steel Corp</w:t>
      </w:r>
      <w:r w:rsidRPr="007A7351">
        <w:rPr>
          <w:rFonts w:ascii="Times New Roman" w:hAnsi="Times New Roman" w:cs="Times New Roman"/>
          <w:sz w:val="24"/>
          <w:szCs w:val="24"/>
        </w:rPr>
        <w:t xml:space="preserve">, 253 N. W. 2d 501, 93 N.W.2d 552 (1958) the Minnesota Supreme Court “explained that a common enterprise exists if all of the following three factors are met: </w:t>
      </w:r>
    </w:p>
    <w:p w:rsidR="00054BA4" w:rsidRPr="007A7351" w:rsidRDefault="00054BA4" w:rsidP="007A7351">
      <w:pPr>
        <w:spacing w:after="0" w:line="240" w:lineRule="auto"/>
        <w:rPr>
          <w:rFonts w:ascii="Times New Roman" w:eastAsia="Times New Roman" w:hAnsi="Times New Roman" w:cs="Times New Roman"/>
          <w:sz w:val="24"/>
          <w:szCs w:val="24"/>
        </w:rPr>
      </w:pPr>
    </w:p>
    <w:p w:rsidR="0024051C" w:rsidRPr="007A7351" w:rsidRDefault="00054BA4" w:rsidP="007A7351">
      <w:pPr>
        <w:spacing w:after="0" w:line="240" w:lineRule="auto"/>
        <w:rPr>
          <w:rFonts w:ascii="Times New Roman" w:eastAsia="Times New Roman" w:hAnsi="Times New Roman" w:cs="Times New Roman"/>
          <w:sz w:val="24"/>
          <w:szCs w:val="24"/>
        </w:rPr>
      </w:pPr>
      <w:r w:rsidRPr="007A7351">
        <w:rPr>
          <w:rFonts w:ascii="Times New Roman" w:eastAsia="Times New Roman" w:hAnsi="Times New Roman" w:cs="Times New Roman"/>
          <w:sz w:val="24"/>
          <w:szCs w:val="24"/>
        </w:rPr>
        <w:lastRenderedPageBreak/>
        <w:tab/>
      </w:r>
      <w:r w:rsidR="003E7774">
        <w:rPr>
          <w:rFonts w:ascii="Times New Roman" w:eastAsia="Times New Roman" w:hAnsi="Times New Roman" w:cs="Times New Roman"/>
          <w:sz w:val="24"/>
          <w:szCs w:val="24"/>
        </w:rPr>
        <w:tab/>
      </w:r>
      <w:r w:rsidR="0024051C" w:rsidRPr="007A7351">
        <w:rPr>
          <w:rFonts w:ascii="Times New Roman" w:eastAsia="Times New Roman" w:hAnsi="Times New Roman" w:cs="Times New Roman"/>
          <w:sz w:val="24"/>
          <w:szCs w:val="24"/>
        </w:rPr>
        <w:t>1</w:t>
      </w:r>
      <w:r w:rsidR="00F54EFF">
        <w:rPr>
          <w:rFonts w:ascii="Times New Roman" w:eastAsia="Times New Roman" w:hAnsi="Times New Roman" w:cs="Times New Roman"/>
          <w:sz w:val="24"/>
          <w:szCs w:val="24"/>
        </w:rPr>
        <w:t>.</w:t>
      </w:r>
      <w:r w:rsidR="00F46061">
        <w:rPr>
          <w:rFonts w:ascii="Times New Roman" w:eastAsia="Times New Roman" w:hAnsi="Times New Roman" w:cs="Times New Roman"/>
          <w:sz w:val="24"/>
          <w:szCs w:val="24"/>
        </w:rPr>
        <w:tab/>
      </w:r>
      <w:r w:rsidR="0024051C" w:rsidRPr="007A7351">
        <w:rPr>
          <w:rFonts w:ascii="Times New Roman" w:eastAsia="Times New Roman" w:hAnsi="Times New Roman" w:cs="Times New Roman"/>
          <w:sz w:val="24"/>
          <w:szCs w:val="24"/>
        </w:rPr>
        <w:t>The employers must be engaged on the same project;</w:t>
      </w:r>
    </w:p>
    <w:p w:rsidR="0024051C" w:rsidRPr="007A7351" w:rsidRDefault="003E7774" w:rsidP="007A73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54BA4" w:rsidRPr="007A7351">
        <w:rPr>
          <w:rFonts w:ascii="Times New Roman" w:eastAsia="Times New Roman" w:hAnsi="Times New Roman" w:cs="Times New Roman"/>
          <w:sz w:val="24"/>
          <w:szCs w:val="24"/>
        </w:rPr>
        <w:tab/>
      </w:r>
      <w:r w:rsidR="0024051C" w:rsidRPr="007A7351">
        <w:rPr>
          <w:rFonts w:ascii="Times New Roman" w:eastAsia="Times New Roman" w:hAnsi="Times New Roman" w:cs="Times New Roman"/>
          <w:sz w:val="24"/>
          <w:szCs w:val="24"/>
        </w:rPr>
        <w:t>2</w:t>
      </w:r>
      <w:r w:rsidR="00F54EFF">
        <w:rPr>
          <w:rFonts w:ascii="Times New Roman" w:eastAsia="Times New Roman" w:hAnsi="Times New Roman" w:cs="Times New Roman"/>
          <w:sz w:val="24"/>
          <w:szCs w:val="24"/>
        </w:rPr>
        <w:t>.</w:t>
      </w:r>
      <w:r w:rsidR="00F46061">
        <w:rPr>
          <w:rFonts w:ascii="Times New Roman" w:eastAsia="Times New Roman" w:hAnsi="Times New Roman" w:cs="Times New Roman"/>
          <w:sz w:val="24"/>
          <w:szCs w:val="24"/>
        </w:rPr>
        <w:tab/>
      </w:r>
      <w:r w:rsidR="0024051C" w:rsidRPr="007A7351">
        <w:rPr>
          <w:rFonts w:ascii="Times New Roman" w:eastAsia="Times New Roman" w:hAnsi="Times New Roman" w:cs="Times New Roman"/>
          <w:sz w:val="24"/>
          <w:szCs w:val="24"/>
        </w:rPr>
        <w:t xml:space="preserve">The employees must be </w:t>
      </w:r>
      <w:r w:rsidR="0024051C" w:rsidRPr="007A7351">
        <w:rPr>
          <w:rFonts w:ascii="Times New Roman" w:eastAsia="Times New Roman" w:hAnsi="Times New Roman" w:cs="Times New Roman"/>
          <w:i/>
          <w:iCs/>
          <w:sz w:val="24"/>
          <w:szCs w:val="24"/>
        </w:rPr>
        <w:t>working together</w:t>
      </w:r>
      <w:r w:rsidR="0024051C" w:rsidRPr="007A7351">
        <w:rPr>
          <w:rFonts w:ascii="Times New Roman" w:eastAsia="Times New Roman" w:hAnsi="Times New Roman" w:cs="Times New Roman"/>
          <w:sz w:val="24"/>
          <w:szCs w:val="24"/>
        </w:rPr>
        <w:t xml:space="preserve"> (common activity); and</w:t>
      </w:r>
    </w:p>
    <w:p w:rsidR="0024051C" w:rsidRPr="007A7351" w:rsidRDefault="00054BA4" w:rsidP="007A7351">
      <w:pPr>
        <w:spacing w:after="0" w:line="240" w:lineRule="auto"/>
        <w:rPr>
          <w:rFonts w:ascii="Times New Roman" w:eastAsia="Times New Roman" w:hAnsi="Times New Roman" w:cs="Times New Roman"/>
          <w:sz w:val="24"/>
          <w:szCs w:val="24"/>
        </w:rPr>
      </w:pPr>
      <w:r w:rsidRPr="007A7351">
        <w:rPr>
          <w:rFonts w:ascii="Times New Roman" w:eastAsia="Times New Roman" w:hAnsi="Times New Roman" w:cs="Times New Roman"/>
          <w:sz w:val="24"/>
          <w:szCs w:val="24"/>
        </w:rPr>
        <w:tab/>
      </w:r>
      <w:r w:rsidR="003E7774">
        <w:rPr>
          <w:rFonts w:ascii="Times New Roman" w:eastAsia="Times New Roman" w:hAnsi="Times New Roman" w:cs="Times New Roman"/>
          <w:sz w:val="24"/>
          <w:szCs w:val="24"/>
        </w:rPr>
        <w:tab/>
      </w:r>
      <w:r w:rsidR="0024051C" w:rsidRPr="007A7351">
        <w:rPr>
          <w:rFonts w:ascii="Times New Roman" w:eastAsia="Times New Roman" w:hAnsi="Times New Roman" w:cs="Times New Roman"/>
          <w:sz w:val="24"/>
          <w:szCs w:val="24"/>
        </w:rPr>
        <w:t>3</w:t>
      </w:r>
      <w:r w:rsidR="00F54EFF">
        <w:rPr>
          <w:rFonts w:ascii="Times New Roman" w:eastAsia="Times New Roman" w:hAnsi="Times New Roman" w:cs="Times New Roman"/>
          <w:sz w:val="24"/>
          <w:szCs w:val="24"/>
        </w:rPr>
        <w:t>.</w:t>
      </w:r>
      <w:r w:rsidR="00F46061">
        <w:rPr>
          <w:rFonts w:ascii="Times New Roman" w:eastAsia="Times New Roman" w:hAnsi="Times New Roman" w:cs="Times New Roman"/>
          <w:sz w:val="24"/>
          <w:szCs w:val="24"/>
        </w:rPr>
        <w:tab/>
      </w:r>
      <w:r w:rsidR="0024051C" w:rsidRPr="007A7351">
        <w:rPr>
          <w:rFonts w:ascii="Times New Roman" w:eastAsia="Times New Roman" w:hAnsi="Times New Roman" w:cs="Times New Roman"/>
          <w:sz w:val="24"/>
          <w:szCs w:val="24"/>
        </w:rPr>
        <w:t>In such fashion that they are subject to the same or similar hazards.</w:t>
      </w:r>
      <w:r w:rsidR="004F197F">
        <w:rPr>
          <w:rFonts w:ascii="Times New Roman" w:eastAsia="Times New Roman" w:hAnsi="Times New Roman" w:cs="Times New Roman"/>
          <w:sz w:val="24"/>
          <w:szCs w:val="24"/>
        </w:rPr>
        <w:t>”</w:t>
      </w:r>
    </w:p>
    <w:p w:rsidR="00054BA4" w:rsidRPr="007A7351" w:rsidRDefault="00054BA4" w:rsidP="007A7351">
      <w:pPr>
        <w:spacing w:after="0" w:line="240" w:lineRule="auto"/>
        <w:rPr>
          <w:rFonts w:ascii="Times New Roman" w:eastAsia="Times New Roman" w:hAnsi="Times New Roman" w:cs="Times New Roman"/>
          <w:sz w:val="24"/>
          <w:szCs w:val="24"/>
        </w:rPr>
      </w:pPr>
    </w:p>
    <w:p w:rsidR="00155B10" w:rsidRDefault="0024051C" w:rsidP="003E7774">
      <w:pPr>
        <w:spacing w:after="0" w:line="240" w:lineRule="auto"/>
        <w:ind w:left="720"/>
        <w:rPr>
          <w:rFonts w:ascii="Times New Roman" w:eastAsia="Times New Roman" w:hAnsi="Times New Roman" w:cs="Times New Roman"/>
          <w:color w:val="000000" w:themeColor="text1"/>
          <w:sz w:val="24"/>
          <w:szCs w:val="24"/>
        </w:rPr>
      </w:pPr>
      <w:r w:rsidRPr="00054BA4">
        <w:rPr>
          <w:rFonts w:ascii="Times New Roman" w:eastAsia="Times New Roman" w:hAnsi="Times New Roman" w:cs="Times New Roman"/>
          <w:iCs/>
          <w:color w:val="000000" w:themeColor="text1"/>
          <w:sz w:val="24"/>
          <w:szCs w:val="24"/>
          <w:u w:val="single"/>
        </w:rPr>
        <w:t>McCourtie</w:t>
      </w:r>
      <w:r w:rsidRPr="00054BA4">
        <w:rPr>
          <w:rFonts w:ascii="Times New Roman" w:eastAsia="Times New Roman" w:hAnsi="Times New Roman" w:cs="Times New Roman"/>
          <w:color w:val="000000" w:themeColor="text1"/>
          <w:sz w:val="24"/>
          <w:szCs w:val="24"/>
        </w:rPr>
        <w:t xml:space="preserve">, </w:t>
      </w:r>
      <w:hyperlink r:id="rId11" w:history="1">
        <w:r w:rsidRPr="00054BA4">
          <w:rPr>
            <w:rFonts w:ascii="Times New Roman" w:eastAsia="Times New Roman" w:hAnsi="Times New Roman" w:cs="Times New Roman"/>
            <w:color w:val="000000" w:themeColor="text1"/>
            <w:sz w:val="24"/>
            <w:szCs w:val="24"/>
          </w:rPr>
          <w:t>253 Minn. at 506</w:t>
        </w:r>
      </w:hyperlink>
      <w:r w:rsidRPr="00054BA4">
        <w:rPr>
          <w:rFonts w:ascii="Times New Roman" w:eastAsia="Times New Roman" w:hAnsi="Times New Roman" w:cs="Times New Roman"/>
          <w:color w:val="000000" w:themeColor="text1"/>
          <w:sz w:val="24"/>
          <w:szCs w:val="24"/>
        </w:rPr>
        <w:t xml:space="preserve">, </w:t>
      </w:r>
      <w:hyperlink r:id="rId12" w:history="1">
        <w:r w:rsidRPr="00054BA4">
          <w:rPr>
            <w:rFonts w:ascii="Times New Roman" w:eastAsia="Times New Roman" w:hAnsi="Times New Roman" w:cs="Times New Roman"/>
            <w:color w:val="000000" w:themeColor="text1"/>
            <w:sz w:val="24"/>
            <w:szCs w:val="24"/>
          </w:rPr>
          <w:t>93 N.W.2d at 556</w:t>
        </w:r>
      </w:hyperlink>
      <w:r w:rsidRPr="00054BA4">
        <w:rPr>
          <w:rFonts w:ascii="Times New Roman" w:eastAsia="Times New Roman" w:hAnsi="Times New Roman" w:cs="Times New Roman"/>
          <w:color w:val="000000" w:themeColor="text1"/>
          <w:sz w:val="24"/>
          <w:szCs w:val="24"/>
        </w:rPr>
        <w:t xml:space="preserve">; </w:t>
      </w:r>
      <w:r w:rsidRPr="00054BA4">
        <w:rPr>
          <w:rFonts w:ascii="Times New Roman" w:eastAsia="Times New Roman" w:hAnsi="Times New Roman" w:cs="Times New Roman"/>
          <w:iCs/>
          <w:color w:val="000000" w:themeColor="text1"/>
          <w:sz w:val="24"/>
          <w:szCs w:val="24"/>
          <w:u w:val="single"/>
        </w:rPr>
        <w:t>Kaiser v. Northern States Power Co</w:t>
      </w:r>
      <w:r w:rsidRPr="00054BA4">
        <w:rPr>
          <w:rFonts w:ascii="Times New Roman" w:eastAsia="Times New Roman" w:hAnsi="Times New Roman" w:cs="Times New Roman"/>
          <w:i/>
          <w:iCs/>
          <w:color w:val="000000" w:themeColor="text1"/>
          <w:sz w:val="24"/>
          <w:szCs w:val="24"/>
        </w:rPr>
        <w:t>.</w:t>
      </w:r>
      <w:r w:rsidRPr="00054BA4">
        <w:rPr>
          <w:rFonts w:ascii="Times New Roman" w:eastAsia="Times New Roman" w:hAnsi="Times New Roman" w:cs="Times New Roman"/>
          <w:color w:val="000000" w:themeColor="text1"/>
          <w:sz w:val="24"/>
          <w:szCs w:val="24"/>
        </w:rPr>
        <w:t xml:space="preserve">, </w:t>
      </w:r>
      <w:hyperlink r:id="rId13" w:history="1">
        <w:r w:rsidRPr="00054BA4">
          <w:rPr>
            <w:rFonts w:ascii="Times New Roman" w:eastAsia="Times New Roman" w:hAnsi="Times New Roman" w:cs="Times New Roman"/>
            <w:color w:val="000000" w:themeColor="text1"/>
            <w:sz w:val="24"/>
            <w:szCs w:val="24"/>
          </w:rPr>
          <w:t>353 N.W.2d 899, 906</w:t>
        </w:r>
      </w:hyperlink>
      <w:r w:rsidRPr="00054BA4">
        <w:rPr>
          <w:rFonts w:ascii="Times New Roman" w:eastAsia="Times New Roman" w:hAnsi="Times New Roman" w:cs="Times New Roman"/>
          <w:color w:val="000000" w:themeColor="text1"/>
          <w:sz w:val="24"/>
          <w:szCs w:val="24"/>
        </w:rPr>
        <w:t xml:space="preserve"> (Minn. 1984).” </w:t>
      </w:r>
      <w:r w:rsidRPr="00054BA4">
        <w:rPr>
          <w:rFonts w:ascii="Times New Roman" w:eastAsia="Times New Roman" w:hAnsi="Times New Roman" w:cs="Times New Roman"/>
          <w:color w:val="000000" w:themeColor="text1"/>
          <w:sz w:val="24"/>
          <w:szCs w:val="24"/>
          <w:u w:val="single"/>
        </w:rPr>
        <w:t>O’Malley v. Ulland Bros.</w:t>
      </w:r>
      <w:r w:rsidR="005D6511">
        <w:rPr>
          <w:rFonts w:ascii="Times New Roman" w:eastAsia="Times New Roman" w:hAnsi="Times New Roman" w:cs="Times New Roman"/>
          <w:color w:val="000000" w:themeColor="text1"/>
          <w:sz w:val="24"/>
          <w:szCs w:val="24"/>
        </w:rPr>
        <w:t xml:space="preserve">, 549 N.W.2d 889 </w:t>
      </w:r>
      <w:r w:rsidRPr="00054BA4">
        <w:rPr>
          <w:rFonts w:ascii="Times New Roman" w:eastAsia="Times New Roman" w:hAnsi="Times New Roman" w:cs="Times New Roman"/>
          <w:color w:val="000000" w:themeColor="text1"/>
          <w:sz w:val="24"/>
          <w:szCs w:val="24"/>
        </w:rPr>
        <w:t xml:space="preserve">(Minn. 1995). The </w:t>
      </w:r>
      <w:r w:rsidRPr="00054BA4">
        <w:rPr>
          <w:rFonts w:ascii="Times New Roman" w:eastAsia="Times New Roman" w:hAnsi="Times New Roman" w:cs="Times New Roman"/>
          <w:color w:val="000000" w:themeColor="text1"/>
          <w:sz w:val="24"/>
          <w:szCs w:val="24"/>
          <w:u w:val="single"/>
        </w:rPr>
        <w:t>O’Malley</w:t>
      </w:r>
      <w:r w:rsidRPr="00054BA4">
        <w:rPr>
          <w:rFonts w:ascii="Times New Roman" w:eastAsia="Times New Roman" w:hAnsi="Times New Roman" w:cs="Times New Roman"/>
          <w:color w:val="000000" w:themeColor="text1"/>
          <w:sz w:val="24"/>
          <w:szCs w:val="24"/>
        </w:rPr>
        <w:t xml:space="preserve"> court held that whether or not the employers were part of a common enterprise was a question of law for the court, and </w:t>
      </w:r>
      <w:r w:rsidR="00155B10" w:rsidRPr="00054BA4">
        <w:rPr>
          <w:rFonts w:ascii="Times New Roman" w:eastAsia="Times New Roman" w:hAnsi="Times New Roman" w:cs="Times New Roman"/>
          <w:color w:val="000000" w:themeColor="text1"/>
          <w:sz w:val="24"/>
          <w:szCs w:val="24"/>
        </w:rPr>
        <w:t xml:space="preserve">determined that in this case, the employers were in a common enterprise, and therefore dismissed the employee’s claim. The </w:t>
      </w:r>
      <w:r w:rsidR="00155B10" w:rsidRPr="00054BA4">
        <w:rPr>
          <w:rFonts w:ascii="Times New Roman" w:eastAsia="Times New Roman" w:hAnsi="Times New Roman" w:cs="Times New Roman"/>
          <w:color w:val="000000" w:themeColor="text1"/>
          <w:sz w:val="24"/>
          <w:szCs w:val="24"/>
          <w:u w:val="single"/>
        </w:rPr>
        <w:t>O’Malley</w:t>
      </w:r>
      <w:r w:rsidR="00155B10" w:rsidRPr="00054BA4">
        <w:rPr>
          <w:rFonts w:ascii="Times New Roman" w:eastAsia="Times New Roman" w:hAnsi="Times New Roman" w:cs="Times New Roman"/>
          <w:color w:val="000000" w:themeColor="text1"/>
          <w:sz w:val="24"/>
          <w:szCs w:val="24"/>
        </w:rPr>
        <w:t xml:space="preserve"> court indicated that its opinion was informed by the 1983 statutory change in 176.001 requiring the WCA be applied in an even handed way, not as before 1983, in favor of recovery as a remedial statute.</w:t>
      </w:r>
    </w:p>
    <w:p w:rsidR="00B71E25" w:rsidRPr="00054BA4" w:rsidRDefault="00B71E25" w:rsidP="00054BA4">
      <w:pPr>
        <w:spacing w:after="0" w:line="240" w:lineRule="auto"/>
        <w:rPr>
          <w:rFonts w:ascii="Times New Roman" w:eastAsia="Times New Roman" w:hAnsi="Times New Roman" w:cs="Times New Roman"/>
          <w:color w:val="000000" w:themeColor="text1"/>
          <w:sz w:val="24"/>
          <w:szCs w:val="24"/>
        </w:rPr>
      </w:pPr>
    </w:p>
    <w:p w:rsidR="0024051C" w:rsidRDefault="00155B10" w:rsidP="003E7774">
      <w:pPr>
        <w:spacing w:after="0" w:line="240" w:lineRule="auto"/>
        <w:ind w:left="720"/>
        <w:rPr>
          <w:rFonts w:ascii="Times New Roman" w:eastAsia="Times New Roman" w:hAnsi="Times New Roman" w:cs="Times New Roman"/>
          <w:color w:val="000000" w:themeColor="text1"/>
          <w:sz w:val="24"/>
          <w:szCs w:val="24"/>
        </w:rPr>
      </w:pPr>
      <w:r w:rsidRPr="00054BA4">
        <w:rPr>
          <w:rFonts w:ascii="Times New Roman" w:eastAsia="Times New Roman" w:hAnsi="Times New Roman" w:cs="Times New Roman"/>
          <w:color w:val="000000" w:themeColor="text1"/>
          <w:sz w:val="24"/>
          <w:szCs w:val="24"/>
        </w:rPr>
        <w:t xml:space="preserve">The dissent in </w:t>
      </w:r>
      <w:r w:rsidRPr="00054BA4">
        <w:rPr>
          <w:rFonts w:ascii="Times New Roman" w:eastAsia="Times New Roman" w:hAnsi="Times New Roman" w:cs="Times New Roman"/>
          <w:color w:val="000000" w:themeColor="text1"/>
          <w:sz w:val="24"/>
          <w:szCs w:val="24"/>
          <w:u w:val="single"/>
        </w:rPr>
        <w:t>O’Malley</w:t>
      </w:r>
      <w:r w:rsidRPr="00054BA4">
        <w:rPr>
          <w:rFonts w:ascii="Times New Roman" w:eastAsia="Times New Roman" w:hAnsi="Times New Roman" w:cs="Times New Roman"/>
          <w:color w:val="000000" w:themeColor="text1"/>
          <w:sz w:val="24"/>
          <w:szCs w:val="24"/>
        </w:rPr>
        <w:t xml:space="preserve"> argued that whether the common enterprise test was met was a mixed question of fact and law, and noted with disdain that this was the first case in 50 years to find a common enterprise in a contested case, and predicted the resurgence of the common enterprise doctrine and its resurrection from near death. Since </w:t>
      </w:r>
      <w:r w:rsidRPr="00054BA4">
        <w:rPr>
          <w:rFonts w:ascii="Times New Roman" w:eastAsia="Times New Roman" w:hAnsi="Times New Roman" w:cs="Times New Roman"/>
          <w:color w:val="000000" w:themeColor="text1"/>
          <w:sz w:val="24"/>
          <w:szCs w:val="24"/>
          <w:u w:val="single"/>
        </w:rPr>
        <w:t>O’Malloy</w:t>
      </w:r>
      <w:r w:rsidRPr="00054BA4">
        <w:rPr>
          <w:rFonts w:ascii="Times New Roman" w:eastAsia="Times New Roman" w:hAnsi="Times New Roman" w:cs="Times New Roman"/>
          <w:color w:val="000000" w:themeColor="text1"/>
          <w:sz w:val="24"/>
          <w:szCs w:val="24"/>
        </w:rPr>
        <w:t xml:space="preserve">, however, the common enterprise exception to third party liability continues to be a difficult defense for the third party tortfeasor to succeed on. </w:t>
      </w:r>
      <w:r w:rsidRPr="00054BA4">
        <w:rPr>
          <w:rFonts w:ascii="Times New Roman" w:eastAsia="Times New Roman" w:hAnsi="Times New Roman" w:cs="Times New Roman"/>
          <w:color w:val="000000" w:themeColor="text1"/>
          <w:sz w:val="24"/>
          <w:szCs w:val="24"/>
          <w:u w:val="single"/>
        </w:rPr>
        <w:t>See</w:t>
      </w:r>
      <w:r w:rsidRPr="00054BA4">
        <w:rPr>
          <w:rFonts w:ascii="Times New Roman" w:eastAsia="Times New Roman" w:hAnsi="Times New Roman" w:cs="Times New Roman"/>
          <w:color w:val="000000" w:themeColor="text1"/>
          <w:sz w:val="24"/>
          <w:szCs w:val="24"/>
        </w:rPr>
        <w:t xml:space="preserve"> </w:t>
      </w:r>
      <w:r w:rsidRPr="00054BA4">
        <w:rPr>
          <w:rFonts w:ascii="Times New Roman" w:eastAsia="Times New Roman" w:hAnsi="Times New Roman" w:cs="Times New Roman"/>
          <w:color w:val="000000" w:themeColor="text1"/>
          <w:sz w:val="24"/>
          <w:szCs w:val="24"/>
          <w:u w:val="single"/>
        </w:rPr>
        <w:t>Sorenson v. Visser</w:t>
      </w:r>
      <w:r w:rsidRPr="00054BA4">
        <w:rPr>
          <w:rFonts w:ascii="Times New Roman" w:eastAsia="Times New Roman" w:hAnsi="Times New Roman" w:cs="Times New Roman"/>
          <w:color w:val="000000" w:themeColor="text1"/>
          <w:sz w:val="24"/>
          <w:szCs w:val="24"/>
        </w:rPr>
        <w:t xml:space="preserve">, 558 N.W.2d 773 (Minn. App 1997), </w:t>
      </w:r>
      <w:r w:rsidRPr="00054BA4">
        <w:rPr>
          <w:rFonts w:ascii="Times New Roman" w:eastAsia="Times New Roman" w:hAnsi="Times New Roman" w:cs="Times New Roman"/>
          <w:color w:val="000000" w:themeColor="text1"/>
          <w:sz w:val="24"/>
          <w:szCs w:val="24"/>
          <w:u w:val="single"/>
        </w:rPr>
        <w:t>Carstens v. Mayers, Inc.</w:t>
      </w:r>
      <w:r w:rsidRPr="00054BA4">
        <w:rPr>
          <w:rFonts w:ascii="Times New Roman" w:eastAsia="Times New Roman" w:hAnsi="Times New Roman" w:cs="Times New Roman"/>
          <w:color w:val="000000" w:themeColor="text1"/>
          <w:sz w:val="24"/>
          <w:szCs w:val="24"/>
        </w:rPr>
        <w:t>, 574 N.W.2d 733 (Minn. App. 1998)</w:t>
      </w:r>
      <w:r w:rsidR="00C30E37" w:rsidRPr="00054BA4">
        <w:rPr>
          <w:rFonts w:ascii="Times New Roman" w:eastAsia="Times New Roman" w:hAnsi="Times New Roman" w:cs="Times New Roman"/>
          <w:color w:val="000000" w:themeColor="text1"/>
          <w:sz w:val="24"/>
          <w:szCs w:val="24"/>
        </w:rPr>
        <w:t xml:space="preserve">, </w:t>
      </w:r>
      <w:r w:rsidR="00C30E37" w:rsidRPr="00054BA4">
        <w:rPr>
          <w:rFonts w:ascii="Times New Roman" w:eastAsia="Times New Roman" w:hAnsi="Times New Roman" w:cs="Times New Roman"/>
          <w:color w:val="000000" w:themeColor="text1"/>
          <w:sz w:val="24"/>
          <w:szCs w:val="24"/>
          <w:u w:val="single"/>
        </w:rPr>
        <w:t>LeDoux v. M.A. Mortenson Co.</w:t>
      </w:r>
      <w:r w:rsidR="00C30E37" w:rsidRPr="00054BA4">
        <w:rPr>
          <w:rFonts w:ascii="Times New Roman" w:eastAsia="Times New Roman" w:hAnsi="Times New Roman" w:cs="Times New Roman"/>
          <w:color w:val="000000" w:themeColor="text1"/>
          <w:sz w:val="24"/>
          <w:szCs w:val="24"/>
        </w:rPr>
        <w:t>, 835 N.W.2d 20</w:t>
      </w:r>
      <w:r w:rsidR="005D6511">
        <w:rPr>
          <w:rFonts w:ascii="Times New Roman" w:eastAsia="Times New Roman" w:hAnsi="Times New Roman" w:cs="Times New Roman"/>
          <w:color w:val="000000" w:themeColor="text1"/>
          <w:sz w:val="24"/>
          <w:szCs w:val="24"/>
        </w:rPr>
        <w:t>, 22</w:t>
      </w:r>
      <w:r w:rsidR="00C30E37" w:rsidRPr="00054BA4">
        <w:rPr>
          <w:rFonts w:ascii="Times New Roman" w:eastAsia="Times New Roman" w:hAnsi="Times New Roman" w:cs="Times New Roman"/>
          <w:color w:val="000000" w:themeColor="text1"/>
          <w:sz w:val="24"/>
          <w:szCs w:val="24"/>
        </w:rPr>
        <w:t xml:space="preserve"> (Minn. App. 2013. </w:t>
      </w:r>
      <w:r w:rsidR="00C30E37" w:rsidRPr="00054BA4">
        <w:rPr>
          <w:rFonts w:ascii="Times New Roman" w:eastAsia="Times New Roman" w:hAnsi="Times New Roman" w:cs="Times New Roman"/>
          <w:color w:val="000000" w:themeColor="text1"/>
          <w:sz w:val="24"/>
          <w:szCs w:val="24"/>
          <w:u w:val="single"/>
        </w:rPr>
        <w:t>But See</w:t>
      </w:r>
      <w:r w:rsidR="00C30E37" w:rsidRPr="00054BA4">
        <w:rPr>
          <w:rFonts w:ascii="Times New Roman" w:eastAsia="Times New Roman" w:hAnsi="Times New Roman" w:cs="Times New Roman"/>
          <w:color w:val="000000" w:themeColor="text1"/>
          <w:sz w:val="24"/>
          <w:szCs w:val="24"/>
        </w:rPr>
        <w:t xml:space="preserve">, </w:t>
      </w:r>
      <w:r w:rsidR="00C30E37" w:rsidRPr="00054BA4">
        <w:rPr>
          <w:rFonts w:ascii="Times New Roman" w:eastAsia="Times New Roman" w:hAnsi="Times New Roman" w:cs="Times New Roman"/>
          <w:color w:val="000000" w:themeColor="text1"/>
          <w:sz w:val="24"/>
          <w:szCs w:val="24"/>
          <w:u w:val="single"/>
        </w:rPr>
        <w:t>Teska v. Potlach Corp.</w:t>
      </w:r>
      <w:r w:rsidR="00C30E37" w:rsidRPr="00054BA4">
        <w:rPr>
          <w:rFonts w:ascii="Times New Roman" w:eastAsia="Times New Roman" w:hAnsi="Times New Roman" w:cs="Times New Roman"/>
          <w:color w:val="000000" w:themeColor="text1"/>
          <w:sz w:val="24"/>
          <w:szCs w:val="24"/>
        </w:rPr>
        <w:t xml:space="preserve">, 184 F.Supp. 2d 913(D. Minn. 2002). </w:t>
      </w:r>
    </w:p>
    <w:p w:rsidR="003E7774" w:rsidRPr="00054BA4" w:rsidRDefault="003E7774" w:rsidP="003E7774">
      <w:pPr>
        <w:spacing w:after="0" w:line="240" w:lineRule="auto"/>
        <w:ind w:left="720"/>
        <w:rPr>
          <w:rFonts w:ascii="Times New Roman" w:eastAsia="Times New Roman" w:hAnsi="Times New Roman" w:cs="Times New Roman"/>
          <w:color w:val="000000" w:themeColor="text1"/>
          <w:sz w:val="24"/>
          <w:szCs w:val="24"/>
        </w:rPr>
      </w:pPr>
    </w:p>
    <w:p w:rsidR="00C30E37" w:rsidRPr="00054BA4" w:rsidRDefault="00C30E37" w:rsidP="003E7774">
      <w:pPr>
        <w:spacing w:after="0" w:line="240" w:lineRule="auto"/>
        <w:ind w:left="720"/>
        <w:rPr>
          <w:rFonts w:ascii="Times New Roman" w:eastAsia="Times New Roman" w:hAnsi="Times New Roman" w:cs="Times New Roman"/>
          <w:color w:val="000000" w:themeColor="text1"/>
          <w:sz w:val="24"/>
          <w:szCs w:val="24"/>
        </w:rPr>
      </w:pPr>
      <w:r w:rsidRPr="00054BA4">
        <w:rPr>
          <w:rFonts w:ascii="Times New Roman" w:eastAsia="Times New Roman" w:hAnsi="Times New Roman" w:cs="Times New Roman"/>
          <w:color w:val="000000" w:themeColor="text1"/>
          <w:sz w:val="24"/>
          <w:szCs w:val="24"/>
        </w:rPr>
        <w:t xml:space="preserve">The rule exists for the protection of employers who have joined forces and in effect have put their forces in a common pool. </w:t>
      </w:r>
      <w:r w:rsidRPr="00054BA4">
        <w:rPr>
          <w:rFonts w:ascii="Times New Roman" w:eastAsia="Times New Roman" w:hAnsi="Times New Roman" w:cs="Times New Roman"/>
          <w:color w:val="000000" w:themeColor="text1"/>
          <w:sz w:val="24"/>
          <w:szCs w:val="24"/>
          <w:u w:val="single"/>
        </w:rPr>
        <w:t>LeDoux</w:t>
      </w:r>
      <w:r w:rsidR="00055BEE">
        <w:rPr>
          <w:rFonts w:ascii="Times New Roman" w:eastAsia="Times New Roman" w:hAnsi="Times New Roman" w:cs="Times New Roman"/>
          <w:color w:val="000000" w:themeColor="text1"/>
          <w:sz w:val="24"/>
          <w:szCs w:val="24"/>
        </w:rPr>
        <w:t>, 835 N.W. 2d at 22</w:t>
      </w:r>
      <w:r w:rsidRPr="00054BA4">
        <w:rPr>
          <w:rFonts w:ascii="Times New Roman" w:eastAsia="Times New Roman" w:hAnsi="Times New Roman" w:cs="Times New Roman"/>
          <w:color w:val="000000" w:themeColor="text1"/>
          <w:sz w:val="24"/>
          <w:szCs w:val="24"/>
        </w:rPr>
        <w:t xml:space="preserve">. </w:t>
      </w:r>
      <w:r w:rsidR="00B71E25">
        <w:rPr>
          <w:rFonts w:ascii="Times New Roman" w:eastAsia="Times New Roman" w:hAnsi="Times New Roman" w:cs="Times New Roman"/>
          <w:color w:val="000000" w:themeColor="text1"/>
          <w:sz w:val="24"/>
          <w:szCs w:val="24"/>
        </w:rPr>
        <w:t xml:space="preserve"> </w:t>
      </w:r>
      <w:r w:rsidRPr="00054BA4">
        <w:rPr>
          <w:rFonts w:ascii="Times New Roman" w:eastAsia="Times New Roman" w:hAnsi="Times New Roman" w:cs="Times New Roman"/>
          <w:color w:val="000000" w:themeColor="text1"/>
          <w:sz w:val="24"/>
          <w:szCs w:val="24"/>
        </w:rPr>
        <w:t xml:space="preserve">In order to prevail, the tortfeasor must put together significant </w:t>
      </w:r>
      <w:r w:rsidRPr="00054BA4">
        <w:rPr>
          <w:rFonts w:ascii="Times New Roman" w:eastAsia="Times New Roman" w:hAnsi="Times New Roman" w:cs="Times New Roman"/>
          <w:color w:val="000000" w:themeColor="text1"/>
          <w:sz w:val="24"/>
          <w:szCs w:val="24"/>
        </w:rPr>
        <w:lastRenderedPageBreak/>
        <w:t xml:space="preserve">evidence showing that all three elements of the </w:t>
      </w:r>
      <w:r w:rsidRPr="00054BA4">
        <w:rPr>
          <w:rFonts w:ascii="Times New Roman" w:eastAsia="Times New Roman" w:hAnsi="Times New Roman" w:cs="Times New Roman"/>
          <w:color w:val="000000" w:themeColor="text1"/>
          <w:sz w:val="24"/>
          <w:szCs w:val="24"/>
          <w:u w:val="single"/>
        </w:rPr>
        <w:t>McCourtie</w:t>
      </w:r>
      <w:r w:rsidRPr="00054BA4">
        <w:rPr>
          <w:rFonts w:ascii="Times New Roman" w:eastAsia="Times New Roman" w:hAnsi="Times New Roman" w:cs="Times New Roman"/>
          <w:color w:val="000000" w:themeColor="text1"/>
          <w:sz w:val="24"/>
          <w:szCs w:val="24"/>
        </w:rPr>
        <w:t xml:space="preserve"> test have been met. </w:t>
      </w:r>
      <w:r w:rsidR="00B71E25">
        <w:rPr>
          <w:rFonts w:ascii="Times New Roman" w:eastAsia="Times New Roman" w:hAnsi="Times New Roman" w:cs="Times New Roman"/>
          <w:color w:val="000000" w:themeColor="text1"/>
          <w:sz w:val="24"/>
          <w:szCs w:val="24"/>
        </w:rPr>
        <w:t xml:space="preserve"> </w:t>
      </w:r>
      <w:r w:rsidRPr="00054BA4">
        <w:rPr>
          <w:rFonts w:ascii="Times New Roman" w:eastAsia="Times New Roman" w:hAnsi="Times New Roman" w:cs="Times New Roman"/>
          <w:color w:val="000000" w:themeColor="text1"/>
          <w:sz w:val="24"/>
          <w:szCs w:val="24"/>
        </w:rPr>
        <w:t xml:space="preserve">In spite of the result in </w:t>
      </w:r>
      <w:r w:rsidRPr="00054BA4">
        <w:rPr>
          <w:rFonts w:ascii="Times New Roman" w:eastAsia="Times New Roman" w:hAnsi="Times New Roman" w:cs="Times New Roman"/>
          <w:color w:val="000000" w:themeColor="text1"/>
          <w:sz w:val="24"/>
          <w:szCs w:val="24"/>
          <w:u w:val="single"/>
        </w:rPr>
        <w:t>O’Malley</w:t>
      </w:r>
      <w:r w:rsidRPr="00054BA4">
        <w:rPr>
          <w:rFonts w:ascii="Times New Roman" w:eastAsia="Times New Roman" w:hAnsi="Times New Roman" w:cs="Times New Roman"/>
          <w:color w:val="000000" w:themeColor="text1"/>
          <w:sz w:val="24"/>
          <w:szCs w:val="24"/>
        </w:rPr>
        <w:t xml:space="preserve">, this remains a tough row to hoe. </w:t>
      </w:r>
    </w:p>
    <w:p w:rsidR="00B71E25" w:rsidRDefault="00B71E25" w:rsidP="00054BA4">
      <w:pPr>
        <w:spacing w:after="0" w:line="240" w:lineRule="auto"/>
        <w:rPr>
          <w:rFonts w:ascii="Times New Roman" w:eastAsia="Times New Roman" w:hAnsi="Times New Roman" w:cs="Times New Roman"/>
          <w:color w:val="000000" w:themeColor="text1"/>
          <w:sz w:val="24"/>
          <w:szCs w:val="24"/>
        </w:rPr>
      </w:pPr>
    </w:p>
    <w:p w:rsidR="008027AB" w:rsidRDefault="008027AB" w:rsidP="003E7774">
      <w:pPr>
        <w:spacing w:after="0" w:line="240" w:lineRule="auto"/>
        <w:ind w:left="720"/>
        <w:rPr>
          <w:rFonts w:ascii="Times New Roman" w:eastAsia="Times New Roman" w:hAnsi="Times New Roman" w:cs="Times New Roman"/>
          <w:color w:val="000000" w:themeColor="text1"/>
          <w:sz w:val="24"/>
          <w:szCs w:val="24"/>
        </w:rPr>
      </w:pPr>
      <w:r w:rsidRPr="00054BA4">
        <w:rPr>
          <w:rFonts w:ascii="Times New Roman" w:eastAsia="Times New Roman" w:hAnsi="Times New Roman" w:cs="Times New Roman"/>
          <w:color w:val="000000" w:themeColor="text1"/>
          <w:sz w:val="24"/>
          <w:szCs w:val="24"/>
        </w:rPr>
        <w:t xml:space="preserve">There is one additional element of the common enterprise defense….both the employer and the tortfeasor seeking to use the defense must be insured or self-insured for workers’ compensation under the Minnesota Act. </w:t>
      </w:r>
    </w:p>
    <w:p w:rsidR="00B71E25" w:rsidRPr="00777804" w:rsidRDefault="00B71E25" w:rsidP="00054BA4">
      <w:pPr>
        <w:spacing w:after="0" w:line="240" w:lineRule="auto"/>
        <w:rPr>
          <w:rFonts w:ascii="Times New Roman" w:eastAsia="Times New Roman" w:hAnsi="Times New Roman" w:cs="Times New Roman"/>
          <w:color w:val="000000" w:themeColor="text1"/>
          <w:sz w:val="24"/>
          <w:szCs w:val="24"/>
        </w:rPr>
      </w:pPr>
    </w:p>
    <w:p w:rsidR="00D17179" w:rsidRPr="00777804" w:rsidRDefault="00D17179" w:rsidP="00CE6CDD">
      <w:pPr>
        <w:pStyle w:val="ListParagraph"/>
        <w:numPr>
          <w:ilvl w:val="0"/>
          <w:numId w:val="11"/>
        </w:numPr>
        <w:spacing w:after="0" w:line="240" w:lineRule="auto"/>
        <w:ind w:left="1440" w:hanging="720"/>
        <w:rPr>
          <w:rFonts w:ascii="Times New Roman" w:eastAsia="Times New Roman" w:hAnsi="Times New Roman" w:cs="Times New Roman"/>
          <w:color w:val="000000" w:themeColor="text1"/>
          <w:sz w:val="24"/>
          <w:szCs w:val="24"/>
        </w:rPr>
      </w:pPr>
      <w:r w:rsidRPr="00777804">
        <w:rPr>
          <w:rFonts w:ascii="Times New Roman" w:eastAsia="Times New Roman" w:hAnsi="Times New Roman" w:cs="Times New Roman"/>
          <w:color w:val="000000" w:themeColor="text1"/>
          <w:sz w:val="24"/>
          <w:szCs w:val="24"/>
        </w:rPr>
        <w:t>Borrowed/</w:t>
      </w:r>
      <w:r w:rsidR="00B71E25" w:rsidRPr="00777804">
        <w:rPr>
          <w:rFonts w:ascii="Times New Roman" w:eastAsia="Times New Roman" w:hAnsi="Times New Roman" w:cs="Times New Roman"/>
          <w:color w:val="000000" w:themeColor="text1"/>
          <w:sz w:val="24"/>
          <w:szCs w:val="24"/>
        </w:rPr>
        <w:t>L</w:t>
      </w:r>
      <w:r w:rsidRPr="00777804">
        <w:rPr>
          <w:rFonts w:ascii="Times New Roman" w:eastAsia="Times New Roman" w:hAnsi="Times New Roman" w:cs="Times New Roman"/>
          <w:color w:val="000000" w:themeColor="text1"/>
          <w:sz w:val="24"/>
          <w:szCs w:val="24"/>
        </w:rPr>
        <w:t xml:space="preserve">oaned </w:t>
      </w:r>
      <w:r w:rsidR="00B71E25" w:rsidRPr="00777804">
        <w:rPr>
          <w:rFonts w:ascii="Times New Roman" w:eastAsia="Times New Roman" w:hAnsi="Times New Roman" w:cs="Times New Roman"/>
          <w:color w:val="000000" w:themeColor="text1"/>
          <w:sz w:val="24"/>
          <w:szCs w:val="24"/>
        </w:rPr>
        <w:t>S</w:t>
      </w:r>
      <w:r w:rsidRPr="00777804">
        <w:rPr>
          <w:rFonts w:ascii="Times New Roman" w:eastAsia="Times New Roman" w:hAnsi="Times New Roman" w:cs="Times New Roman"/>
          <w:color w:val="000000" w:themeColor="text1"/>
          <w:sz w:val="24"/>
          <w:szCs w:val="24"/>
        </w:rPr>
        <w:t>ervants</w:t>
      </w:r>
    </w:p>
    <w:p w:rsidR="00B71E25" w:rsidRPr="00B71E25" w:rsidRDefault="00B71E25" w:rsidP="00B71E25">
      <w:pPr>
        <w:pStyle w:val="ListParagraph"/>
        <w:spacing w:after="0" w:line="240" w:lineRule="auto"/>
        <w:rPr>
          <w:rFonts w:ascii="Times New Roman" w:eastAsia="Times New Roman" w:hAnsi="Times New Roman" w:cs="Times New Roman"/>
          <w:b/>
          <w:color w:val="000000" w:themeColor="text1"/>
          <w:sz w:val="24"/>
          <w:szCs w:val="24"/>
        </w:rPr>
      </w:pPr>
    </w:p>
    <w:p w:rsidR="002B1888" w:rsidRPr="00054BA4" w:rsidRDefault="0070298A" w:rsidP="00F45BEF">
      <w:pPr>
        <w:shd w:val="clear" w:color="auto" w:fill="FFFFFF"/>
        <w:spacing w:after="0" w:line="240" w:lineRule="auto"/>
        <w:ind w:left="720"/>
        <w:rPr>
          <w:rFonts w:ascii="Times New Roman" w:eastAsia="Times New Roman" w:hAnsi="Times New Roman" w:cs="Times New Roman"/>
          <w:color w:val="000000" w:themeColor="text1"/>
          <w:sz w:val="24"/>
          <w:szCs w:val="24"/>
        </w:rPr>
      </w:pPr>
      <w:r w:rsidRPr="00054BA4">
        <w:rPr>
          <w:rFonts w:ascii="Times New Roman" w:eastAsia="Times New Roman" w:hAnsi="Times New Roman" w:cs="Times New Roman"/>
          <w:color w:val="000000" w:themeColor="text1"/>
          <w:sz w:val="24"/>
          <w:szCs w:val="24"/>
        </w:rPr>
        <w:t>Employers of all kinds use temporary agencies to staff their operations. Typically, the plaintiff is an emp</w:t>
      </w:r>
      <w:r w:rsidR="00C336D9" w:rsidRPr="00054BA4">
        <w:rPr>
          <w:rFonts w:ascii="Times New Roman" w:eastAsia="Times New Roman" w:hAnsi="Times New Roman" w:cs="Times New Roman"/>
          <w:color w:val="000000" w:themeColor="text1"/>
          <w:sz w:val="24"/>
          <w:szCs w:val="24"/>
        </w:rPr>
        <w:t>loyee of the temporary agency (g</w:t>
      </w:r>
      <w:r w:rsidRPr="00054BA4">
        <w:rPr>
          <w:rFonts w:ascii="Times New Roman" w:eastAsia="Times New Roman" w:hAnsi="Times New Roman" w:cs="Times New Roman"/>
          <w:color w:val="000000" w:themeColor="text1"/>
          <w:sz w:val="24"/>
          <w:szCs w:val="24"/>
        </w:rPr>
        <w:t xml:space="preserve">eneral employer) who is seconded to </w:t>
      </w:r>
      <w:r w:rsidR="00C336D9" w:rsidRPr="00054BA4">
        <w:rPr>
          <w:rFonts w:ascii="Times New Roman" w:eastAsia="Times New Roman" w:hAnsi="Times New Roman" w:cs="Times New Roman"/>
          <w:color w:val="000000" w:themeColor="text1"/>
          <w:sz w:val="24"/>
          <w:szCs w:val="24"/>
        </w:rPr>
        <w:t xml:space="preserve">another employer to actually perform work (special employer). </w:t>
      </w:r>
      <w:r w:rsidR="004C201E">
        <w:rPr>
          <w:rFonts w:ascii="Times New Roman" w:eastAsia="Times New Roman" w:hAnsi="Times New Roman" w:cs="Times New Roman"/>
          <w:color w:val="000000" w:themeColor="text1"/>
          <w:sz w:val="24"/>
          <w:szCs w:val="24"/>
        </w:rPr>
        <w:t xml:space="preserve"> </w:t>
      </w:r>
      <w:r w:rsidR="00C336D9" w:rsidRPr="00054BA4">
        <w:rPr>
          <w:rFonts w:ascii="Times New Roman" w:eastAsia="Times New Roman" w:hAnsi="Times New Roman" w:cs="Times New Roman"/>
          <w:color w:val="000000" w:themeColor="text1"/>
          <w:sz w:val="24"/>
          <w:szCs w:val="24"/>
        </w:rPr>
        <w:t>Under Minnesota’s Workers’ Compensation Act, both the general employer and the special employer are liable for workers’ compensation benefits</w:t>
      </w:r>
      <w:r w:rsidR="002B1888" w:rsidRPr="00054BA4">
        <w:rPr>
          <w:rFonts w:ascii="Times New Roman" w:eastAsia="Times New Roman" w:hAnsi="Times New Roman" w:cs="Times New Roman"/>
          <w:color w:val="000000" w:themeColor="text1"/>
          <w:sz w:val="24"/>
          <w:szCs w:val="24"/>
        </w:rPr>
        <w:t xml:space="preserve"> if a three part test is met.</w:t>
      </w:r>
      <w:r w:rsidR="00C336D9" w:rsidRPr="00054BA4">
        <w:rPr>
          <w:rFonts w:ascii="Times New Roman" w:eastAsia="Times New Roman" w:hAnsi="Times New Roman" w:cs="Times New Roman"/>
          <w:color w:val="000000" w:themeColor="text1"/>
          <w:sz w:val="24"/>
          <w:szCs w:val="24"/>
        </w:rPr>
        <w:t xml:space="preserve"> </w:t>
      </w:r>
      <w:r w:rsidR="00C336D9" w:rsidRPr="00054BA4">
        <w:rPr>
          <w:rFonts w:ascii="Times New Roman" w:eastAsia="Times New Roman" w:hAnsi="Times New Roman" w:cs="Times New Roman"/>
          <w:color w:val="000000" w:themeColor="text1"/>
          <w:sz w:val="24"/>
          <w:szCs w:val="24"/>
          <w:u w:val="single"/>
        </w:rPr>
        <w:t>Danek v. Meldrum Manufacturing &amp; Engineering Co.</w:t>
      </w:r>
      <w:r w:rsidR="00C336D9" w:rsidRPr="00054BA4">
        <w:rPr>
          <w:rFonts w:ascii="Times New Roman" w:eastAsia="Times New Roman" w:hAnsi="Times New Roman" w:cs="Times New Roman"/>
          <w:color w:val="000000" w:themeColor="text1"/>
          <w:sz w:val="24"/>
          <w:szCs w:val="24"/>
        </w:rPr>
        <w:t>, 252 N.W.2d 255</w:t>
      </w:r>
      <w:r w:rsidR="002B1888" w:rsidRPr="00054BA4">
        <w:rPr>
          <w:rFonts w:ascii="Times New Roman" w:eastAsia="Times New Roman" w:hAnsi="Times New Roman" w:cs="Times New Roman"/>
          <w:color w:val="000000" w:themeColor="text1"/>
          <w:sz w:val="24"/>
          <w:szCs w:val="24"/>
        </w:rPr>
        <w:t xml:space="preserve"> (Minn.1977). The test is: </w:t>
      </w:r>
    </w:p>
    <w:p w:rsidR="002B1888" w:rsidRPr="00054BA4" w:rsidRDefault="002B1888" w:rsidP="004C201E">
      <w:pPr>
        <w:shd w:val="clear" w:color="auto" w:fill="FFFFFF"/>
        <w:spacing w:after="0" w:line="240" w:lineRule="auto"/>
        <w:ind w:left="1440"/>
        <w:rPr>
          <w:rFonts w:ascii="Times New Roman" w:eastAsia="Times New Roman" w:hAnsi="Times New Roman" w:cs="Times New Roman"/>
          <w:color w:val="000000" w:themeColor="text1"/>
          <w:sz w:val="24"/>
          <w:szCs w:val="24"/>
        </w:rPr>
      </w:pPr>
      <w:r w:rsidRPr="00054BA4">
        <w:rPr>
          <w:rFonts w:ascii="Times New Roman" w:eastAsia="Times New Roman" w:hAnsi="Times New Roman" w:cs="Times New Roman"/>
          <w:color w:val="000000" w:themeColor="text1"/>
          <w:sz w:val="24"/>
          <w:szCs w:val="24"/>
        </w:rPr>
        <w:br/>
        <w:t>“When a general employer lends an employee to a special employer, the special employer becomes liable for workmen's compensation only if</w:t>
      </w:r>
      <w:r w:rsidR="000C150D">
        <w:rPr>
          <w:rFonts w:ascii="Times New Roman" w:eastAsia="Times New Roman" w:hAnsi="Times New Roman" w:cs="Times New Roman"/>
          <w:color w:val="000000" w:themeColor="text1"/>
          <w:sz w:val="24"/>
          <w:szCs w:val="24"/>
        </w:rPr>
        <w:t>:</w:t>
      </w:r>
    </w:p>
    <w:p w:rsidR="004C201E" w:rsidRDefault="004C201E" w:rsidP="00054BA4">
      <w:pPr>
        <w:shd w:val="clear" w:color="auto" w:fill="FFFFFF"/>
        <w:spacing w:after="0" w:line="240" w:lineRule="auto"/>
        <w:rPr>
          <w:rFonts w:ascii="Times New Roman" w:eastAsia="Times New Roman" w:hAnsi="Times New Roman" w:cs="Times New Roman"/>
          <w:color w:val="000000" w:themeColor="text1"/>
          <w:sz w:val="24"/>
          <w:szCs w:val="24"/>
        </w:rPr>
      </w:pPr>
    </w:p>
    <w:p w:rsidR="002B1888" w:rsidRPr="00054BA4" w:rsidRDefault="00674AD5" w:rsidP="00F45BEF">
      <w:pPr>
        <w:shd w:val="clear" w:color="auto" w:fill="FFFFFF"/>
        <w:spacing w:after="0" w:line="240" w:lineRule="auto"/>
        <w:ind w:left="216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2B1888" w:rsidRPr="00054BA4">
        <w:rPr>
          <w:rFonts w:ascii="Times New Roman" w:eastAsia="Times New Roman" w:hAnsi="Times New Roman" w:cs="Times New Roman"/>
          <w:color w:val="000000" w:themeColor="text1"/>
          <w:sz w:val="24"/>
          <w:szCs w:val="24"/>
        </w:rPr>
        <w:t>a</w:t>
      </w:r>
      <w:r w:rsidR="00CE6CDD">
        <w:rPr>
          <w:rFonts w:ascii="Times New Roman" w:eastAsia="Times New Roman" w:hAnsi="Times New Roman" w:cs="Times New Roman"/>
          <w:color w:val="000000" w:themeColor="text1"/>
          <w:sz w:val="24"/>
          <w:szCs w:val="24"/>
        </w:rPr>
        <w:t>.</w:t>
      </w:r>
      <w:r w:rsidR="004C201E">
        <w:rPr>
          <w:rFonts w:ascii="Times New Roman" w:eastAsia="Times New Roman" w:hAnsi="Times New Roman" w:cs="Times New Roman"/>
          <w:color w:val="000000" w:themeColor="text1"/>
          <w:sz w:val="24"/>
          <w:szCs w:val="24"/>
        </w:rPr>
        <w:tab/>
      </w:r>
      <w:r w:rsidR="002B1888" w:rsidRPr="00054BA4">
        <w:rPr>
          <w:rFonts w:ascii="Times New Roman" w:eastAsia="Times New Roman" w:hAnsi="Times New Roman" w:cs="Times New Roman"/>
          <w:color w:val="000000" w:themeColor="text1"/>
          <w:sz w:val="24"/>
          <w:szCs w:val="24"/>
        </w:rPr>
        <w:t xml:space="preserve">the employee has made a contract of hire, express or implied, with </w:t>
      </w:r>
      <w:r>
        <w:rPr>
          <w:rFonts w:ascii="Times New Roman" w:eastAsia="Times New Roman" w:hAnsi="Times New Roman" w:cs="Times New Roman"/>
          <w:color w:val="000000" w:themeColor="text1"/>
          <w:sz w:val="24"/>
          <w:szCs w:val="24"/>
        </w:rPr>
        <w:tab/>
      </w:r>
      <w:r w:rsidR="002B1888" w:rsidRPr="00054BA4">
        <w:rPr>
          <w:rFonts w:ascii="Times New Roman" w:eastAsia="Times New Roman" w:hAnsi="Times New Roman" w:cs="Times New Roman"/>
          <w:color w:val="000000" w:themeColor="text1"/>
          <w:sz w:val="24"/>
          <w:szCs w:val="24"/>
        </w:rPr>
        <w:t>the special employer;</w:t>
      </w:r>
    </w:p>
    <w:p w:rsidR="002B1888" w:rsidRPr="00054BA4" w:rsidRDefault="00674AD5" w:rsidP="00F45BEF">
      <w:pPr>
        <w:shd w:val="clear" w:color="auto" w:fill="FFFFFF"/>
        <w:spacing w:after="0" w:line="240" w:lineRule="auto"/>
        <w:ind w:firstLine="14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2B1888" w:rsidRPr="00054BA4">
        <w:rPr>
          <w:rFonts w:ascii="Times New Roman" w:eastAsia="Times New Roman" w:hAnsi="Times New Roman" w:cs="Times New Roman"/>
          <w:color w:val="000000" w:themeColor="text1"/>
          <w:sz w:val="24"/>
          <w:szCs w:val="24"/>
        </w:rPr>
        <w:t>b</w:t>
      </w:r>
      <w:r w:rsidR="00CE6CDD">
        <w:rPr>
          <w:rFonts w:ascii="Times New Roman" w:eastAsia="Times New Roman" w:hAnsi="Times New Roman" w:cs="Times New Roman"/>
          <w:color w:val="000000" w:themeColor="text1"/>
          <w:sz w:val="24"/>
          <w:szCs w:val="24"/>
        </w:rPr>
        <w:t>.</w:t>
      </w:r>
      <w:r w:rsidR="004C201E">
        <w:rPr>
          <w:rFonts w:ascii="Times New Roman" w:eastAsia="Times New Roman" w:hAnsi="Times New Roman" w:cs="Times New Roman"/>
          <w:color w:val="000000" w:themeColor="text1"/>
          <w:sz w:val="24"/>
          <w:szCs w:val="24"/>
        </w:rPr>
        <w:tab/>
      </w:r>
      <w:r w:rsidR="002B1888" w:rsidRPr="00054BA4">
        <w:rPr>
          <w:rFonts w:ascii="Times New Roman" w:eastAsia="Times New Roman" w:hAnsi="Times New Roman" w:cs="Times New Roman"/>
          <w:color w:val="000000" w:themeColor="text1"/>
          <w:sz w:val="24"/>
          <w:szCs w:val="24"/>
        </w:rPr>
        <w:t>the work being done is essentially that of the special employer; and</w:t>
      </w:r>
    </w:p>
    <w:p w:rsidR="002B1888" w:rsidRPr="00054BA4" w:rsidRDefault="00674AD5" w:rsidP="00F45BEF">
      <w:pPr>
        <w:shd w:val="clear" w:color="auto" w:fill="FFFFFF"/>
        <w:spacing w:after="0" w:line="240" w:lineRule="auto"/>
        <w:ind w:left="216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2B1888" w:rsidRPr="00054BA4">
        <w:rPr>
          <w:rFonts w:ascii="Times New Roman" w:eastAsia="Times New Roman" w:hAnsi="Times New Roman" w:cs="Times New Roman"/>
          <w:color w:val="000000" w:themeColor="text1"/>
          <w:sz w:val="24"/>
          <w:szCs w:val="24"/>
        </w:rPr>
        <w:t>c</w:t>
      </w:r>
      <w:r w:rsidR="00CE6CDD">
        <w:rPr>
          <w:rFonts w:ascii="Times New Roman" w:eastAsia="Times New Roman" w:hAnsi="Times New Roman" w:cs="Times New Roman"/>
          <w:color w:val="000000" w:themeColor="text1"/>
          <w:sz w:val="24"/>
          <w:szCs w:val="24"/>
        </w:rPr>
        <w:t>.</w:t>
      </w:r>
      <w:r w:rsidR="002B1888" w:rsidRPr="00054BA4">
        <w:rPr>
          <w:rFonts w:ascii="Times New Roman" w:eastAsia="Times New Roman" w:hAnsi="Times New Roman" w:cs="Times New Roman"/>
          <w:color w:val="000000" w:themeColor="text1"/>
          <w:sz w:val="24"/>
          <w:szCs w:val="24"/>
        </w:rPr>
        <w:t xml:space="preserve"> </w:t>
      </w:r>
      <w:r w:rsidR="004C201E">
        <w:rPr>
          <w:rFonts w:ascii="Times New Roman" w:eastAsia="Times New Roman" w:hAnsi="Times New Roman" w:cs="Times New Roman"/>
          <w:color w:val="000000" w:themeColor="text1"/>
          <w:sz w:val="24"/>
          <w:szCs w:val="24"/>
        </w:rPr>
        <w:tab/>
      </w:r>
      <w:r w:rsidR="002B1888" w:rsidRPr="00054BA4">
        <w:rPr>
          <w:rFonts w:ascii="Times New Roman" w:eastAsia="Times New Roman" w:hAnsi="Times New Roman" w:cs="Times New Roman"/>
          <w:color w:val="000000" w:themeColor="text1"/>
          <w:sz w:val="24"/>
          <w:szCs w:val="24"/>
        </w:rPr>
        <w:t xml:space="preserve">the special employer has the right to control the details of the </w:t>
      </w:r>
      <w:r>
        <w:rPr>
          <w:rFonts w:ascii="Times New Roman" w:eastAsia="Times New Roman" w:hAnsi="Times New Roman" w:cs="Times New Roman"/>
          <w:color w:val="000000" w:themeColor="text1"/>
          <w:sz w:val="24"/>
          <w:szCs w:val="24"/>
        </w:rPr>
        <w:tab/>
      </w:r>
      <w:r w:rsidR="002B1888" w:rsidRPr="00054BA4">
        <w:rPr>
          <w:rFonts w:ascii="Times New Roman" w:eastAsia="Times New Roman" w:hAnsi="Times New Roman" w:cs="Times New Roman"/>
          <w:color w:val="000000" w:themeColor="text1"/>
          <w:sz w:val="24"/>
          <w:szCs w:val="24"/>
        </w:rPr>
        <w:t>work.</w:t>
      </w:r>
    </w:p>
    <w:p w:rsidR="004C201E" w:rsidRDefault="004C201E" w:rsidP="004C201E">
      <w:pPr>
        <w:shd w:val="clear" w:color="auto" w:fill="FFFFFF"/>
        <w:spacing w:after="0" w:line="240" w:lineRule="auto"/>
        <w:ind w:left="1440"/>
        <w:rPr>
          <w:rFonts w:ascii="Times New Roman" w:eastAsia="Times New Roman" w:hAnsi="Times New Roman" w:cs="Times New Roman"/>
          <w:iCs/>
          <w:color w:val="000000" w:themeColor="text1"/>
          <w:sz w:val="24"/>
          <w:szCs w:val="24"/>
        </w:rPr>
      </w:pPr>
    </w:p>
    <w:p w:rsidR="002B1888" w:rsidRPr="00054BA4" w:rsidRDefault="002B1888" w:rsidP="00F45BEF">
      <w:pPr>
        <w:shd w:val="clear" w:color="auto" w:fill="FFFFFF"/>
        <w:spacing w:after="0" w:line="240" w:lineRule="auto"/>
        <w:ind w:left="720"/>
        <w:rPr>
          <w:rFonts w:ascii="Times New Roman" w:eastAsia="Times New Roman" w:hAnsi="Times New Roman" w:cs="Times New Roman"/>
          <w:iCs/>
          <w:color w:val="000000" w:themeColor="text1"/>
          <w:sz w:val="24"/>
          <w:szCs w:val="24"/>
        </w:rPr>
      </w:pPr>
      <w:r w:rsidRPr="00054BA4">
        <w:rPr>
          <w:rFonts w:ascii="Times New Roman" w:eastAsia="Times New Roman" w:hAnsi="Times New Roman" w:cs="Times New Roman"/>
          <w:iCs/>
          <w:color w:val="000000" w:themeColor="text1"/>
          <w:sz w:val="24"/>
          <w:szCs w:val="24"/>
        </w:rPr>
        <w:t xml:space="preserve">When all three of the above conditions are satisfied in relation to both employers, both employers are liable for workmen's compensation.” </w:t>
      </w:r>
      <w:r w:rsidRPr="00054BA4">
        <w:rPr>
          <w:rFonts w:ascii="Times New Roman" w:eastAsia="Times New Roman" w:hAnsi="Times New Roman" w:cs="Times New Roman"/>
          <w:iCs/>
          <w:color w:val="000000" w:themeColor="text1"/>
          <w:sz w:val="24"/>
          <w:szCs w:val="24"/>
          <w:u w:val="single"/>
        </w:rPr>
        <w:t>Id</w:t>
      </w:r>
      <w:r w:rsidRPr="00054BA4">
        <w:rPr>
          <w:rFonts w:ascii="Times New Roman" w:eastAsia="Times New Roman" w:hAnsi="Times New Roman" w:cs="Times New Roman"/>
          <w:iCs/>
          <w:color w:val="000000" w:themeColor="text1"/>
          <w:sz w:val="24"/>
          <w:szCs w:val="24"/>
        </w:rPr>
        <w:t xml:space="preserve"> at 258. </w:t>
      </w:r>
    </w:p>
    <w:p w:rsidR="004C201E" w:rsidRDefault="004C201E" w:rsidP="00054BA4">
      <w:pPr>
        <w:spacing w:after="0" w:line="240" w:lineRule="auto"/>
        <w:ind w:firstLine="480"/>
        <w:rPr>
          <w:rFonts w:ascii="Times New Roman" w:eastAsia="Times New Roman" w:hAnsi="Times New Roman" w:cs="Times New Roman"/>
          <w:color w:val="000000" w:themeColor="text1"/>
          <w:sz w:val="24"/>
          <w:szCs w:val="24"/>
        </w:rPr>
      </w:pPr>
    </w:p>
    <w:p w:rsidR="002B1888" w:rsidRDefault="004C201E" w:rsidP="00F45BEF">
      <w:pPr>
        <w:spacing w:after="0" w:line="240" w:lineRule="auto"/>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002B1888" w:rsidRPr="00054BA4">
        <w:rPr>
          <w:rFonts w:ascii="Times New Roman" w:eastAsia="Times New Roman" w:hAnsi="Times New Roman" w:cs="Times New Roman"/>
          <w:color w:val="000000" w:themeColor="text1"/>
          <w:sz w:val="24"/>
          <w:szCs w:val="24"/>
        </w:rPr>
        <w:t xml:space="preserve">he general employer and the special employer are allowed to “arrange for a different distribution of payment of the compensation for which they are liable.” Minn. Stat. Sec. 176.071. </w:t>
      </w:r>
    </w:p>
    <w:p w:rsidR="00F45BEF" w:rsidRPr="00054BA4" w:rsidRDefault="00F45BEF" w:rsidP="00F45BEF">
      <w:pPr>
        <w:spacing w:after="0" w:line="240" w:lineRule="auto"/>
        <w:ind w:left="720"/>
        <w:rPr>
          <w:rFonts w:ascii="Times New Roman" w:eastAsia="Times New Roman" w:hAnsi="Times New Roman" w:cs="Times New Roman"/>
          <w:color w:val="000000" w:themeColor="text1"/>
          <w:sz w:val="24"/>
          <w:szCs w:val="24"/>
        </w:rPr>
      </w:pPr>
    </w:p>
    <w:p w:rsidR="00D322CF" w:rsidRPr="00054BA4" w:rsidRDefault="002B1888" w:rsidP="00F45BEF">
      <w:pPr>
        <w:spacing w:after="0" w:line="240" w:lineRule="auto"/>
        <w:ind w:left="720"/>
        <w:rPr>
          <w:rFonts w:ascii="Times New Roman" w:hAnsi="Times New Roman" w:cs="Times New Roman"/>
          <w:color w:val="000000" w:themeColor="text1"/>
          <w:sz w:val="24"/>
          <w:szCs w:val="24"/>
        </w:rPr>
      </w:pPr>
      <w:r w:rsidRPr="00054BA4">
        <w:rPr>
          <w:rFonts w:ascii="Times New Roman" w:eastAsia="Times New Roman" w:hAnsi="Times New Roman" w:cs="Times New Roman"/>
          <w:color w:val="000000" w:themeColor="text1"/>
          <w:sz w:val="24"/>
          <w:szCs w:val="24"/>
        </w:rPr>
        <w:t xml:space="preserve">Usually, the labor broker/general employer pays the workers’ compensation benefits. </w:t>
      </w:r>
      <w:r w:rsidR="005533C0">
        <w:rPr>
          <w:rFonts w:ascii="Times New Roman" w:eastAsia="Times New Roman" w:hAnsi="Times New Roman" w:cs="Times New Roman"/>
          <w:color w:val="000000" w:themeColor="text1"/>
          <w:sz w:val="24"/>
          <w:szCs w:val="24"/>
        </w:rPr>
        <w:t xml:space="preserve"> </w:t>
      </w:r>
      <w:r w:rsidRPr="00054BA4">
        <w:rPr>
          <w:rFonts w:ascii="Times New Roman" w:eastAsia="Times New Roman" w:hAnsi="Times New Roman" w:cs="Times New Roman"/>
          <w:color w:val="000000" w:themeColor="text1"/>
          <w:sz w:val="24"/>
          <w:szCs w:val="24"/>
        </w:rPr>
        <w:t xml:space="preserve">It is not unusual therefore, for the plaintiff to assert a claim against the special employer.  Under the </w:t>
      </w:r>
      <w:r w:rsidRPr="00054BA4">
        <w:rPr>
          <w:rFonts w:ascii="Times New Roman" w:eastAsia="Times New Roman" w:hAnsi="Times New Roman" w:cs="Times New Roman"/>
          <w:color w:val="000000" w:themeColor="text1"/>
          <w:sz w:val="24"/>
          <w:szCs w:val="24"/>
          <w:u w:val="single"/>
        </w:rPr>
        <w:t>Danek</w:t>
      </w:r>
      <w:r w:rsidRPr="00054BA4">
        <w:rPr>
          <w:rFonts w:ascii="Times New Roman" w:eastAsia="Times New Roman" w:hAnsi="Times New Roman" w:cs="Times New Roman"/>
          <w:color w:val="000000" w:themeColor="text1"/>
          <w:sz w:val="24"/>
          <w:szCs w:val="24"/>
        </w:rPr>
        <w:t xml:space="preserve"> analysis, the first element includes an inquiry regarding whether the employee consented to an employment relationship with the special employer. </w:t>
      </w:r>
      <w:r w:rsidR="005533C0">
        <w:rPr>
          <w:rFonts w:ascii="Times New Roman" w:eastAsia="Times New Roman" w:hAnsi="Times New Roman" w:cs="Times New Roman"/>
          <w:color w:val="000000" w:themeColor="text1"/>
          <w:sz w:val="24"/>
          <w:szCs w:val="24"/>
        </w:rPr>
        <w:t xml:space="preserve"> </w:t>
      </w:r>
      <w:r w:rsidR="00D322CF" w:rsidRPr="00054BA4">
        <w:rPr>
          <w:rFonts w:ascii="Times New Roman" w:eastAsia="Times New Roman" w:hAnsi="Times New Roman" w:cs="Times New Roman"/>
          <w:color w:val="000000" w:themeColor="text1"/>
          <w:sz w:val="24"/>
          <w:szCs w:val="24"/>
        </w:rPr>
        <w:t xml:space="preserve">In the labor broker context, consent is inferred. Consent may also be implied, for example in a temp to hire scenario. </w:t>
      </w:r>
      <w:r w:rsidR="00D322CF" w:rsidRPr="00054BA4">
        <w:rPr>
          <w:rFonts w:ascii="Times New Roman" w:hAnsi="Times New Roman" w:cs="Times New Roman"/>
          <w:color w:val="000000" w:themeColor="text1"/>
          <w:sz w:val="24"/>
          <w:szCs w:val="24"/>
          <w:u w:val="single"/>
        </w:rPr>
        <w:t>Dukes v. Northern Metal Fab., Inc.</w:t>
      </w:r>
      <w:r w:rsidR="00D322CF" w:rsidRPr="00054BA4">
        <w:rPr>
          <w:rFonts w:ascii="Times New Roman" w:hAnsi="Times New Roman" w:cs="Times New Roman"/>
          <w:color w:val="000000" w:themeColor="text1"/>
          <w:sz w:val="24"/>
          <w:szCs w:val="24"/>
        </w:rPr>
        <w:t xml:space="preserve">, 2015 WL XXX (D. Minn) </w:t>
      </w:r>
      <w:hyperlink r:id="rId14" w:history="1">
        <w:r w:rsidR="00D322CF" w:rsidRPr="00054BA4">
          <w:rPr>
            <w:rStyle w:val="Hyperlink"/>
            <w:rFonts w:ascii="Times New Roman" w:hAnsi="Times New Roman" w:cs="Times New Roman"/>
            <w:color w:val="000000" w:themeColor="text1"/>
            <w:sz w:val="24"/>
            <w:szCs w:val="24"/>
          </w:rPr>
          <w:t>Case No. 13-cv-03647 (SRN/FLN)</w:t>
        </w:r>
      </w:hyperlink>
      <w:r w:rsidR="00D322CF" w:rsidRPr="00054BA4">
        <w:rPr>
          <w:rFonts w:ascii="Times New Roman" w:hAnsi="Times New Roman" w:cs="Times New Roman"/>
          <w:color w:val="000000" w:themeColor="text1"/>
          <w:sz w:val="24"/>
          <w:szCs w:val="24"/>
        </w:rPr>
        <w:t>.</w:t>
      </w:r>
    </w:p>
    <w:p w:rsidR="00F45BEF" w:rsidRDefault="00F45BEF" w:rsidP="00054BA4">
      <w:pPr>
        <w:spacing w:after="0" w:line="240" w:lineRule="auto"/>
        <w:jc w:val="center"/>
        <w:rPr>
          <w:rFonts w:ascii="Times New Roman" w:eastAsia="Times New Roman" w:hAnsi="Times New Roman" w:cs="Times New Roman"/>
          <w:b/>
          <w:color w:val="000000" w:themeColor="text1"/>
          <w:sz w:val="24"/>
          <w:szCs w:val="24"/>
          <w:u w:val="single"/>
        </w:rPr>
      </w:pPr>
    </w:p>
    <w:p w:rsidR="00D322CF" w:rsidRPr="006F5F9A" w:rsidRDefault="00D322CF" w:rsidP="0001584F">
      <w:pPr>
        <w:pStyle w:val="ListParagraph"/>
        <w:spacing w:after="0" w:line="240" w:lineRule="auto"/>
        <w:ind w:left="0"/>
        <w:jc w:val="center"/>
        <w:rPr>
          <w:rFonts w:ascii="Times New Roman" w:eastAsia="Times New Roman" w:hAnsi="Times New Roman" w:cs="Times New Roman"/>
          <w:b/>
          <w:color w:val="000000" w:themeColor="text1"/>
          <w:sz w:val="24"/>
          <w:szCs w:val="24"/>
        </w:rPr>
      </w:pPr>
      <w:r w:rsidRPr="006F5F9A">
        <w:rPr>
          <w:rFonts w:ascii="Times New Roman" w:eastAsia="Times New Roman" w:hAnsi="Times New Roman" w:cs="Times New Roman"/>
          <w:b/>
          <w:color w:val="000000" w:themeColor="text1"/>
          <w:sz w:val="24"/>
          <w:szCs w:val="24"/>
        </w:rPr>
        <w:t>Conclusion</w:t>
      </w:r>
    </w:p>
    <w:p w:rsidR="005533C0" w:rsidRPr="005533C0" w:rsidRDefault="005533C0" w:rsidP="00054BA4">
      <w:pPr>
        <w:spacing w:after="0" w:line="240" w:lineRule="auto"/>
        <w:jc w:val="center"/>
        <w:rPr>
          <w:rFonts w:ascii="Times New Roman" w:eastAsia="Times New Roman" w:hAnsi="Times New Roman" w:cs="Times New Roman"/>
          <w:b/>
          <w:color w:val="000000" w:themeColor="text1"/>
          <w:sz w:val="24"/>
          <w:szCs w:val="24"/>
          <w:u w:val="single"/>
        </w:rPr>
      </w:pPr>
    </w:p>
    <w:p w:rsidR="00D322CF" w:rsidRPr="00054BA4" w:rsidRDefault="005533C0" w:rsidP="005533C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D322CF" w:rsidRPr="00054BA4">
        <w:rPr>
          <w:rFonts w:ascii="Times New Roman" w:eastAsia="Times New Roman" w:hAnsi="Times New Roman" w:cs="Times New Roman"/>
          <w:color w:val="000000" w:themeColor="text1"/>
          <w:sz w:val="24"/>
          <w:szCs w:val="24"/>
        </w:rPr>
        <w:t xml:space="preserve">Minnesota has, despite numerous challenges, fairly rigorously upheld the elements of the Grand Compromise. The bar against tort claims by an employee against his employer continues to have the support of the courts. Understanding the relationship between the plaintiff, his employer and the alleged third party tortfeasor in the context of purposes of the Workers’ Compensation Act will make navigating this often confusing legal landscape </w:t>
      </w:r>
      <w:r w:rsidR="00067D22" w:rsidRPr="00054BA4">
        <w:rPr>
          <w:rFonts w:ascii="Times New Roman" w:eastAsia="Times New Roman" w:hAnsi="Times New Roman" w:cs="Times New Roman"/>
          <w:color w:val="000000" w:themeColor="text1"/>
          <w:sz w:val="24"/>
          <w:szCs w:val="24"/>
        </w:rPr>
        <w:t>easier for defense lawyers involved in these cases.</w:t>
      </w:r>
      <w:r w:rsidR="00067D22" w:rsidRPr="00054BA4">
        <w:rPr>
          <w:rStyle w:val="FootnoteReference"/>
          <w:rFonts w:ascii="Times New Roman" w:eastAsia="Times New Roman" w:hAnsi="Times New Roman" w:cs="Times New Roman"/>
          <w:color w:val="000000" w:themeColor="text1"/>
          <w:sz w:val="24"/>
          <w:szCs w:val="24"/>
        </w:rPr>
        <w:footnoteReference w:id="6"/>
      </w:r>
    </w:p>
    <w:p w:rsidR="00D322CF" w:rsidRPr="00054BA4" w:rsidRDefault="00D322CF" w:rsidP="005533C0">
      <w:pPr>
        <w:spacing w:after="0" w:line="240" w:lineRule="auto"/>
        <w:jc w:val="center"/>
        <w:rPr>
          <w:rFonts w:ascii="Times New Roman" w:eastAsia="Times New Roman" w:hAnsi="Times New Roman" w:cs="Times New Roman"/>
          <w:color w:val="000000" w:themeColor="text1"/>
          <w:sz w:val="24"/>
          <w:szCs w:val="24"/>
        </w:rPr>
      </w:pPr>
    </w:p>
    <w:p w:rsidR="00D322CF" w:rsidRPr="00054BA4" w:rsidRDefault="00D322CF" w:rsidP="005533C0">
      <w:pPr>
        <w:spacing w:after="0" w:line="240" w:lineRule="auto"/>
        <w:jc w:val="center"/>
        <w:rPr>
          <w:rFonts w:ascii="Times New Roman" w:eastAsia="Times New Roman" w:hAnsi="Times New Roman" w:cs="Times New Roman"/>
          <w:color w:val="000000" w:themeColor="text1"/>
          <w:sz w:val="24"/>
          <w:szCs w:val="24"/>
        </w:rPr>
      </w:pPr>
    </w:p>
    <w:p w:rsidR="00D322CF" w:rsidRPr="00054BA4" w:rsidRDefault="00D322CF" w:rsidP="005533C0">
      <w:pPr>
        <w:spacing w:after="0" w:line="240" w:lineRule="auto"/>
        <w:jc w:val="center"/>
        <w:rPr>
          <w:rFonts w:ascii="Times New Roman" w:eastAsia="Times New Roman" w:hAnsi="Times New Roman" w:cs="Times New Roman"/>
          <w:color w:val="000000" w:themeColor="text1"/>
          <w:sz w:val="24"/>
          <w:szCs w:val="24"/>
        </w:rPr>
      </w:pPr>
    </w:p>
    <w:p w:rsidR="00BB04E2" w:rsidRPr="00054BA4" w:rsidRDefault="00BB04E2" w:rsidP="005533C0">
      <w:pPr>
        <w:spacing w:after="0" w:line="240" w:lineRule="auto"/>
        <w:rPr>
          <w:rFonts w:ascii="Times New Roman" w:hAnsi="Times New Roman" w:cs="Times New Roman"/>
          <w:color w:val="000000" w:themeColor="text1"/>
          <w:sz w:val="24"/>
          <w:szCs w:val="24"/>
        </w:rPr>
      </w:pPr>
    </w:p>
    <w:sectPr w:rsidR="00BB04E2" w:rsidRPr="00054BA4" w:rsidSect="00852A91">
      <w:footerReference w:type="default" r:id="rId15"/>
      <w:pgSz w:w="12240" w:h="15840" w:code="1"/>
      <w:pgMar w:top="1440" w:right="1440" w:bottom="1440" w:left="144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AA6" w:rsidRDefault="00615AA6" w:rsidP="00AD2BD6">
      <w:pPr>
        <w:spacing w:after="0" w:line="240" w:lineRule="auto"/>
      </w:pPr>
      <w:r>
        <w:separator/>
      </w:r>
    </w:p>
  </w:endnote>
  <w:endnote w:type="continuationSeparator" w:id="0">
    <w:p w:rsidR="00615AA6" w:rsidRDefault="00615AA6" w:rsidP="00AD2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988701"/>
      <w:docPartObj>
        <w:docPartGallery w:val="Page Numbers (Bottom of Page)"/>
        <w:docPartUnique/>
      </w:docPartObj>
    </w:sdtPr>
    <w:sdtEndPr/>
    <w:sdtContent>
      <w:p w:rsidR="005408D0" w:rsidRDefault="009F12E4">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5408D0" w:rsidRDefault="00540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AA6" w:rsidRDefault="00615AA6" w:rsidP="00AD2BD6">
      <w:pPr>
        <w:spacing w:after="0" w:line="240" w:lineRule="auto"/>
      </w:pPr>
      <w:r>
        <w:separator/>
      </w:r>
    </w:p>
  </w:footnote>
  <w:footnote w:type="continuationSeparator" w:id="0">
    <w:p w:rsidR="00615AA6" w:rsidRDefault="00615AA6" w:rsidP="00AD2BD6">
      <w:pPr>
        <w:spacing w:after="0" w:line="240" w:lineRule="auto"/>
      </w:pPr>
      <w:r>
        <w:continuationSeparator/>
      </w:r>
    </w:p>
  </w:footnote>
  <w:footnote w:id="1">
    <w:p w:rsidR="00844FE3" w:rsidRPr="0013042E" w:rsidRDefault="00844FE3">
      <w:pPr>
        <w:pStyle w:val="FootnoteText"/>
      </w:pPr>
      <w:r w:rsidRPr="0013042E">
        <w:rPr>
          <w:rStyle w:val="FootnoteReference"/>
        </w:rPr>
        <w:footnoteRef/>
      </w:r>
      <w:r w:rsidRPr="0013042E">
        <w:t xml:space="preserve"> </w:t>
      </w:r>
      <w:r w:rsidRPr="0013042E">
        <w:rPr>
          <w:rFonts w:ascii="Times New Roman" w:hAnsi="Times New Roman" w:cs="Times New Roman"/>
        </w:rPr>
        <w:t>Minn. Stat. Sec. 176.001,  enacted in 1981, in part to reverse a reference to the workers’ compensation act as a “remedial” law to be interpreted in favor of employees, specifically calls out this compromise as the basis for the act: “</w:t>
      </w:r>
      <w:r w:rsidRPr="0013042E">
        <w:rPr>
          <w:rFonts w:ascii="Times New Roman" w:hAnsi="Times New Roman" w:cs="Times New Roman"/>
          <w:color w:val="000000" w:themeColor="text1"/>
        </w:rPr>
        <w:t xml:space="preserve">The workers' compensation system in Minnesota is based on a mutual renunciation of common law rights and defenses by employers and employees alike. Employees' rights to sue for damages over and above medical and health care benefits and wage loss benefits are to a certain degree limited by the provisions of this chapter, and employers' rights to raise common law defenses such as lack of negligence, contributory negligence on the part of the employee, and others, are curtailed as well.” </w:t>
      </w:r>
      <w:r w:rsidRPr="0013042E">
        <w:rPr>
          <w:rFonts w:ascii="Times New Roman" w:hAnsi="Times New Roman" w:cs="Times New Roman"/>
          <w:color w:val="000000" w:themeColor="text1"/>
          <w:u w:val="single"/>
        </w:rPr>
        <w:t>Meintsma v. Lorman Maintenance of Way, Inc.</w:t>
      </w:r>
      <w:r w:rsidRPr="0013042E">
        <w:rPr>
          <w:rFonts w:ascii="Times New Roman" w:hAnsi="Times New Roman" w:cs="Times New Roman"/>
          <w:color w:val="000000" w:themeColor="text1"/>
        </w:rPr>
        <w:t>, 684 N.W.2d 434, 438 (Minn. 2004).</w:t>
      </w:r>
    </w:p>
  </w:footnote>
  <w:footnote w:id="2">
    <w:p w:rsidR="00AD2BD6" w:rsidRPr="0013042E" w:rsidRDefault="00AD2BD6">
      <w:pPr>
        <w:pStyle w:val="FootnoteText"/>
        <w:rPr>
          <w:rFonts w:ascii="Times New Roman" w:hAnsi="Times New Roman" w:cs="Times New Roman"/>
          <w:color w:val="000000" w:themeColor="text1"/>
        </w:rPr>
      </w:pPr>
      <w:r w:rsidRPr="0013042E">
        <w:rPr>
          <w:rStyle w:val="FootnoteReference"/>
          <w:rFonts w:ascii="Times New Roman" w:hAnsi="Times New Roman" w:cs="Times New Roman"/>
          <w:color w:val="000000" w:themeColor="text1"/>
        </w:rPr>
        <w:footnoteRef/>
      </w:r>
      <w:r w:rsidRPr="0013042E">
        <w:rPr>
          <w:rFonts w:ascii="Times New Roman" w:hAnsi="Times New Roman" w:cs="Times New Roman"/>
          <w:color w:val="000000" w:themeColor="text1"/>
        </w:rPr>
        <w:t xml:space="preserve">  In order for the act to apply, the injured person needs to be an employee and the injury needs to arise out of and in the course of </w:t>
      </w:r>
      <w:r w:rsidR="00D561FB" w:rsidRPr="0013042E">
        <w:rPr>
          <w:rFonts w:ascii="Times New Roman" w:hAnsi="Times New Roman" w:cs="Times New Roman"/>
          <w:color w:val="000000" w:themeColor="text1"/>
        </w:rPr>
        <w:t>his/</w:t>
      </w:r>
      <w:r w:rsidRPr="0013042E">
        <w:rPr>
          <w:rFonts w:ascii="Times New Roman" w:hAnsi="Times New Roman" w:cs="Times New Roman"/>
          <w:color w:val="000000" w:themeColor="text1"/>
        </w:rPr>
        <w:t>her employment. Minn. Stat. Sec. 176.021 (Every employer is liable for compensation according to the provisions of this chapter and is liable to pay compensation in every case of personal injury or death of an employee arising out of and in the course of employment without regard to the question of negligence.) Employee is a defined term (see MSA 176. 011 subd. 9 and 9a), as is employer, MSA176.011 subd. 10, and personal injury, MSA 176.011 subd. 16. “ Arising out of and in the course of” can be a very complex analysis, and is the subject of a body of case law much to</w:t>
      </w:r>
      <w:r w:rsidR="00D561FB" w:rsidRPr="0013042E">
        <w:rPr>
          <w:rFonts w:ascii="Times New Roman" w:hAnsi="Times New Roman" w:cs="Times New Roman"/>
          <w:color w:val="000000" w:themeColor="text1"/>
        </w:rPr>
        <w:t>o</w:t>
      </w:r>
      <w:r w:rsidRPr="0013042E">
        <w:rPr>
          <w:rFonts w:ascii="Times New Roman" w:hAnsi="Times New Roman" w:cs="Times New Roman"/>
          <w:color w:val="000000" w:themeColor="text1"/>
        </w:rPr>
        <w:t xml:space="preserve"> broad to include in this article. While this article will assume that case involves a covered employee’</w:t>
      </w:r>
      <w:r w:rsidR="009B3A8A" w:rsidRPr="0013042E">
        <w:rPr>
          <w:rFonts w:ascii="Times New Roman" w:hAnsi="Times New Roman" w:cs="Times New Roman"/>
          <w:color w:val="000000" w:themeColor="text1"/>
        </w:rPr>
        <w:t>s injury arising</w:t>
      </w:r>
      <w:r w:rsidRPr="0013042E">
        <w:rPr>
          <w:rFonts w:ascii="Times New Roman" w:hAnsi="Times New Roman" w:cs="Times New Roman"/>
          <w:color w:val="000000" w:themeColor="text1"/>
        </w:rPr>
        <w:t xml:space="preserve"> out of and in the course of  </w:t>
      </w:r>
      <w:r w:rsidR="009B3A8A" w:rsidRPr="0013042E">
        <w:rPr>
          <w:rFonts w:ascii="Times New Roman" w:hAnsi="Times New Roman" w:cs="Times New Roman"/>
          <w:color w:val="000000" w:themeColor="text1"/>
        </w:rPr>
        <w:t>his</w:t>
      </w:r>
      <w:r w:rsidR="00D25CFC" w:rsidRPr="0013042E">
        <w:rPr>
          <w:rFonts w:ascii="Times New Roman" w:hAnsi="Times New Roman" w:cs="Times New Roman"/>
          <w:color w:val="000000" w:themeColor="text1"/>
        </w:rPr>
        <w:t>/her</w:t>
      </w:r>
      <w:r w:rsidR="009B3A8A" w:rsidRPr="0013042E">
        <w:rPr>
          <w:rFonts w:ascii="Times New Roman" w:hAnsi="Times New Roman" w:cs="Times New Roman"/>
          <w:color w:val="000000" w:themeColor="text1"/>
        </w:rPr>
        <w:t xml:space="preserve"> employment, unless otherwise discussed, that preliminary issue should be addressed first.</w:t>
      </w:r>
    </w:p>
  </w:footnote>
  <w:footnote w:id="3">
    <w:p w:rsidR="006D50D5" w:rsidRPr="00320E36" w:rsidRDefault="006D50D5">
      <w:pPr>
        <w:pStyle w:val="FootnoteText"/>
        <w:rPr>
          <w:rFonts w:ascii="Times New Roman" w:hAnsi="Times New Roman" w:cs="Times New Roman"/>
        </w:rPr>
      </w:pPr>
      <w:r>
        <w:rPr>
          <w:rStyle w:val="FootnoteReference"/>
        </w:rPr>
        <w:footnoteRef/>
      </w:r>
      <w:r>
        <w:t xml:space="preserve"> </w:t>
      </w:r>
      <w:r w:rsidRPr="00320E36">
        <w:rPr>
          <w:rFonts w:ascii="Times New Roman" w:hAnsi="Times New Roman" w:cs="Times New Roman"/>
        </w:rPr>
        <w:t>The numbering of the sections of Minn. Stat. Sec. 176.061 s</w:t>
      </w:r>
      <w:r w:rsidR="00055BEE">
        <w:rPr>
          <w:rFonts w:ascii="Times New Roman" w:hAnsi="Times New Roman" w:cs="Times New Roman"/>
        </w:rPr>
        <w:t>ubd. 5 have changed. In earlier</w:t>
      </w:r>
      <w:r w:rsidRPr="00320E36">
        <w:rPr>
          <w:rFonts w:ascii="Times New Roman" w:hAnsi="Times New Roman" w:cs="Times New Roman"/>
        </w:rPr>
        <w:t xml:space="preserve"> versions of the statute, this was Minn. Stat. Sec. 176.061 subd. 5 (c), not (e).</w:t>
      </w:r>
    </w:p>
  </w:footnote>
  <w:footnote w:id="4">
    <w:p w:rsidR="001A60AD" w:rsidRPr="00320E36" w:rsidRDefault="001A60AD">
      <w:pPr>
        <w:pStyle w:val="FootnoteText"/>
        <w:rPr>
          <w:rFonts w:ascii="Times New Roman" w:hAnsi="Times New Roman" w:cs="Times New Roman"/>
        </w:rPr>
      </w:pPr>
      <w:r w:rsidRPr="00320E36">
        <w:rPr>
          <w:rStyle w:val="FootnoteReference"/>
          <w:rFonts w:ascii="Times New Roman" w:hAnsi="Times New Roman" w:cs="Times New Roman"/>
        </w:rPr>
        <w:footnoteRef/>
      </w:r>
      <w:r w:rsidRPr="00320E36">
        <w:rPr>
          <w:rFonts w:ascii="Times New Roman" w:hAnsi="Times New Roman" w:cs="Times New Roman"/>
        </w:rPr>
        <w:t xml:space="preserve"> Actually, </w:t>
      </w:r>
      <w:r w:rsidRPr="00320E36">
        <w:rPr>
          <w:rFonts w:ascii="Times New Roman" w:hAnsi="Times New Roman" w:cs="Times New Roman"/>
          <w:u w:val="single"/>
        </w:rPr>
        <w:t>Dawley</w:t>
      </w:r>
      <w:r w:rsidRPr="00320E36">
        <w:rPr>
          <w:rFonts w:ascii="Times New Roman" w:hAnsi="Times New Roman" w:cs="Times New Roman"/>
        </w:rPr>
        <w:t xml:space="preserve"> was decided before the 1979 amendments to the workers compensation statute added the gross negligence language to the statute. </w:t>
      </w:r>
    </w:p>
  </w:footnote>
  <w:footnote w:id="5">
    <w:p w:rsidR="00DD186E" w:rsidRPr="00081262" w:rsidRDefault="00DD186E" w:rsidP="00DD186E">
      <w:pPr>
        <w:pStyle w:val="NormalWeb"/>
        <w:rPr>
          <w:sz w:val="20"/>
          <w:szCs w:val="20"/>
        </w:rPr>
      </w:pPr>
      <w:r w:rsidRPr="00081262">
        <w:rPr>
          <w:rStyle w:val="FootnoteReference"/>
          <w:sz w:val="20"/>
          <w:szCs w:val="20"/>
        </w:rPr>
        <w:footnoteRef/>
      </w:r>
      <w:r w:rsidRPr="00081262">
        <w:rPr>
          <w:sz w:val="20"/>
          <w:szCs w:val="20"/>
        </w:rPr>
        <w:t xml:space="preserve"> </w:t>
      </w:r>
      <w:r w:rsidR="00BF3FBF" w:rsidRPr="00081262">
        <w:rPr>
          <w:sz w:val="20"/>
          <w:szCs w:val="20"/>
        </w:rPr>
        <w:t>“</w:t>
      </w:r>
      <w:r w:rsidRPr="00081262">
        <w:rPr>
          <w:sz w:val="20"/>
          <w:szCs w:val="20"/>
        </w:rPr>
        <w:t xml:space="preserve">With respect to the "dual capacity" doctrine, Judge Egeland was injured in an accident involving another state employee; in cases involving government employees, whether local, state, or federal, the "dual capacity" doctrine has been rejected by virtually every court which has addressed the issue. </w:t>
      </w:r>
      <w:r w:rsidRPr="00081262">
        <w:rPr>
          <w:i/>
          <w:iCs/>
          <w:sz w:val="20"/>
          <w:szCs w:val="20"/>
        </w:rPr>
        <w:t>See</w:t>
      </w:r>
      <w:r w:rsidRPr="00081262">
        <w:rPr>
          <w:sz w:val="20"/>
          <w:szCs w:val="20"/>
        </w:rPr>
        <w:t xml:space="preserve"> 2A A. Larson, </w:t>
      </w:r>
      <w:r w:rsidRPr="00081262">
        <w:rPr>
          <w:i/>
          <w:iCs/>
          <w:sz w:val="20"/>
          <w:szCs w:val="20"/>
        </w:rPr>
        <w:t>The Law of Workmen's Compensation,</w:t>
      </w:r>
      <w:r w:rsidRPr="00081262">
        <w:rPr>
          <w:sz w:val="20"/>
          <w:szCs w:val="20"/>
        </w:rPr>
        <w:t xml:space="preserve"> § 72.85(b) </w:t>
      </w:r>
      <w:r w:rsidRPr="00081262">
        <w:rPr>
          <w:rFonts w:ascii="Calibri" w:hAnsi="Calibri"/>
          <w:sz w:val="20"/>
          <w:szCs w:val="20"/>
        </w:rPr>
        <w:t></w:t>
      </w:r>
      <w:r w:rsidRPr="00081262">
        <w:rPr>
          <w:sz w:val="20"/>
          <w:szCs w:val="20"/>
        </w:rPr>
        <w:t xml:space="preserve"> (d), at 14-255 </w:t>
      </w:r>
      <w:r w:rsidRPr="00081262">
        <w:rPr>
          <w:rFonts w:ascii="Calibri" w:hAnsi="Calibri"/>
          <w:sz w:val="20"/>
          <w:szCs w:val="20"/>
        </w:rPr>
        <w:t></w:t>
      </w:r>
      <w:r w:rsidRPr="00081262">
        <w:rPr>
          <w:sz w:val="20"/>
          <w:szCs w:val="20"/>
        </w:rPr>
        <w:t xml:space="preserve"> 14-258 (1986 &amp; Cum.Supp.). For example, in rejecting the doctrine in a case involving an attempted suit against the state by an injured state employee, the Alaska Supreme Court stated:</w:t>
      </w:r>
    </w:p>
    <w:p w:rsidR="00DD186E" w:rsidRPr="005D6511" w:rsidRDefault="00BF3FBF" w:rsidP="008A72EE">
      <w:pPr>
        <w:spacing w:after="100" w:line="240" w:lineRule="auto"/>
        <w:ind w:left="720"/>
        <w:rPr>
          <w:rFonts w:ascii="Times New Roman" w:eastAsia="Times New Roman" w:hAnsi="Times New Roman" w:cs="Times New Roman"/>
          <w:sz w:val="24"/>
          <w:szCs w:val="24"/>
        </w:rPr>
      </w:pPr>
      <w:r w:rsidRPr="00081262">
        <w:rPr>
          <w:rFonts w:ascii="Times New Roman" w:eastAsia="Times New Roman" w:hAnsi="Times New Roman" w:cs="Times New Roman"/>
          <w:sz w:val="20"/>
          <w:szCs w:val="20"/>
        </w:rPr>
        <w:t>‘</w:t>
      </w:r>
      <w:r w:rsidR="00DD186E" w:rsidRPr="00081262">
        <w:rPr>
          <w:rFonts w:ascii="Times New Roman" w:eastAsia="Times New Roman" w:hAnsi="Times New Roman" w:cs="Times New Roman"/>
          <w:sz w:val="20"/>
          <w:szCs w:val="20"/>
        </w:rPr>
        <w:t>Whatever frail vitality the dual capacity doctrine has in other jurisdictions, we do not think that it warrants adoption here. To do so might undermine extensively the policy sought to be achieved by the workmen's compensation act. There are endlessly imaginable situations in which an employer might owe duties to the general public, or to non-employees, the breach of which would be asserted to avoid the exclusive liability provision of our statute. It would be an enormous, and perhaps illusory, task to draw a principled line of distinction between those situations in which the employee could sue and those in which he could not. The exclusive liability provision would, in any event, lose much of its effectiveness, and the workmen's compensation system as a whole might be destabilized. For these reasons, and because of the persuasiveness of case law from other jurisdictions rejecting it, we reject the dual capacity doctrine as the law of this state.</w:t>
      </w:r>
      <w:r w:rsidRPr="00081262">
        <w:rPr>
          <w:rFonts w:ascii="Times New Roman" w:eastAsia="Times New Roman" w:hAnsi="Times New Roman" w:cs="Times New Roman"/>
          <w:sz w:val="20"/>
          <w:szCs w:val="20"/>
        </w:rPr>
        <w:t xml:space="preserve">’” </w:t>
      </w:r>
      <w:r w:rsidRPr="00081262">
        <w:rPr>
          <w:rFonts w:ascii="Times New Roman" w:eastAsia="Times New Roman" w:hAnsi="Times New Roman" w:cs="Times New Roman"/>
          <w:sz w:val="20"/>
          <w:szCs w:val="20"/>
          <w:u w:val="single"/>
        </w:rPr>
        <w:t>Id</w:t>
      </w:r>
      <w:r w:rsidRPr="00081262">
        <w:rPr>
          <w:rFonts w:ascii="Times New Roman" w:eastAsia="Times New Roman" w:hAnsi="Times New Roman" w:cs="Times New Roman"/>
          <w:sz w:val="20"/>
          <w:szCs w:val="20"/>
        </w:rPr>
        <w:t xml:space="preserve"> a</w:t>
      </w:r>
      <w:r w:rsidR="005D6511">
        <w:rPr>
          <w:rFonts w:ascii="Times New Roman" w:eastAsia="Times New Roman" w:hAnsi="Times New Roman" w:cs="Times New Roman"/>
          <w:sz w:val="20"/>
          <w:szCs w:val="20"/>
        </w:rPr>
        <w:t xml:space="preserve">t 851, </w:t>
      </w:r>
      <w:proofErr w:type="gramStart"/>
      <w:r w:rsidR="005D6511">
        <w:rPr>
          <w:rFonts w:ascii="Times New Roman" w:eastAsia="Times New Roman" w:hAnsi="Times New Roman" w:cs="Times New Roman"/>
          <w:sz w:val="20"/>
          <w:szCs w:val="20"/>
        </w:rPr>
        <w:t xml:space="preserve">quoting  </w:t>
      </w:r>
      <w:r w:rsidR="005D6511" w:rsidRPr="005D6511">
        <w:rPr>
          <w:rFonts w:ascii="Times New Roman" w:hAnsi="Times New Roman" w:cs="Times New Roman"/>
          <w:i/>
          <w:iCs/>
          <w:sz w:val="20"/>
          <w:szCs w:val="20"/>
        </w:rPr>
        <w:t>State</w:t>
      </w:r>
      <w:proofErr w:type="gramEnd"/>
      <w:r w:rsidR="005D6511" w:rsidRPr="005D6511">
        <w:rPr>
          <w:rFonts w:ascii="Times New Roman" w:hAnsi="Times New Roman" w:cs="Times New Roman"/>
          <w:i/>
          <w:iCs/>
          <w:sz w:val="20"/>
          <w:szCs w:val="20"/>
        </w:rPr>
        <w:t xml:space="preserve"> v. Purdy,</w:t>
      </w:r>
      <w:r w:rsidR="005D6511" w:rsidRPr="005D6511">
        <w:rPr>
          <w:rFonts w:ascii="Times New Roman" w:hAnsi="Times New Roman" w:cs="Times New Roman"/>
          <w:sz w:val="20"/>
          <w:szCs w:val="20"/>
        </w:rPr>
        <w:t xml:space="preserve"> 601 P.2d 258, 260 (Alaska 1979)</w:t>
      </w:r>
      <w:r w:rsidR="005D6511">
        <w:rPr>
          <w:rFonts w:ascii="Times New Roman" w:hAnsi="Times New Roman" w:cs="Times New Roman"/>
          <w:sz w:val="20"/>
          <w:szCs w:val="20"/>
        </w:rPr>
        <w:t xml:space="preserve"> (footnote omitted).</w:t>
      </w:r>
    </w:p>
    <w:p w:rsidR="00DD186E" w:rsidRDefault="00DD186E">
      <w:pPr>
        <w:pStyle w:val="FootnoteText"/>
      </w:pPr>
    </w:p>
  </w:footnote>
  <w:footnote w:id="6">
    <w:p w:rsidR="00067D22" w:rsidRPr="00F45BEF" w:rsidRDefault="00067D22">
      <w:pPr>
        <w:pStyle w:val="FootnoteText"/>
        <w:rPr>
          <w:rFonts w:ascii="Times New Roman" w:hAnsi="Times New Roman" w:cs="Times New Roman"/>
        </w:rPr>
      </w:pPr>
      <w:r w:rsidRPr="00054BA4">
        <w:rPr>
          <w:rStyle w:val="FootnoteReference"/>
          <w:rFonts w:ascii="Times New Roman" w:hAnsi="Times New Roman" w:cs="Times New Roman"/>
          <w:sz w:val="24"/>
          <w:szCs w:val="24"/>
        </w:rPr>
        <w:footnoteRef/>
      </w:r>
      <w:r w:rsidRPr="00054BA4">
        <w:rPr>
          <w:rFonts w:ascii="Times New Roman" w:hAnsi="Times New Roman" w:cs="Times New Roman"/>
          <w:sz w:val="24"/>
          <w:szCs w:val="24"/>
        </w:rPr>
        <w:t xml:space="preserve"> </w:t>
      </w:r>
      <w:r w:rsidRPr="00F45BEF">
        <w:rPr>
          <w:rFonts w:ascii="Times New Roman" w:hAnsi="Times New Roman" w:cs="Times New Roman"/>
        </w:rPr>
        <w:t>There is an entire jurisprudence surrounding claims and settlements in cases involving true third party tortfeasors. That discussion is outside of the scope of this article, but the author is happy to discuss it with you.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5ABB"/>
    <w:multiLevelType w:val="hybridMultilevel"/>
    <w:tmpl w:val="8F845608"/>
    <w:lvl w:ilvl="0" w:tplc="93549C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CC6A98"/>
    <w:multiLevelType w:val="hybridMultilevel"/>
    <w:tmpl w:val="FD508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70563"/>
    <w:multiLevelType w:val="hybridMultilevel"/>
    <w:tmpl w:val="560EB54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B4C7869"/>
    <w:multiLevelType w:val="hybridMultilevel"/>
    <w:tmpl w:val="94BA4EAC"/>
    <w:lvl w:ilvl="0" w:tplc="8356E19A">
      <w:start w:val="1"/>
      <w:numFmt w:val="decimal"/>
      <w:lvlText w:val="%1."/>
      <w:lvlJc w:val="left"/>
      <w:pPr>
        <w:ind w:left="324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26472B13"/>
    <w:multiLevelType w:val="hybridMultilevel"/>
    <w:tmpl w:val="2D66FF06"/>
    <w:lvl w:ilvl="0" w:tplc="115A121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339D5A56"/>
    <w:multiLevelType w:val="hybridMultilevel"/>
    <w:tmpl w:val="EDC8A9B8"/>
    <w:lvl w:ilvl="0" w:tplc="21A07682">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445817AD"/>
    <w:multiLevelType w:val="hybridMultilevel"/>
    <w:tmpl w:val="A418D242"/>
    <w:lvl w:ilvl="0" w:tplc="EA926F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58258FE"/>
    <w:multiLevelType w:val="hybridMultilevel"/>
    <w:tmpl w:val="1C567DD8"/>
    <w:lvl w:ilvl="0" w:tplc="7FECF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492B55"/>
    <w:multiLevelType w:val="hybridMultilevel"/>
    <w:tmpl w:val="46440198"/>
    <w:lvl w:ilvl="0" w:tplc="BE22D0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9281EBC"/>
    <w:multiLevelType w:val="hybridMultilevel"/>
    <w:tmpl w:val="3B361966"/>
    <w:lvl w:ilvl="0" w:tplc="3708ACD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F354571"/>
    <w:multiLevelType w:val="hybridMultilevel"/>
    <w:tmpl w:val="1506D924"/>
    <w:lvl w:ilvl="0" w:tplc="4DCE313C">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66CF6470"/>
    <w:multiLevelType w:val="hybridMultilevel"/>
    <w:tmpl w:val="18107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131306"/>
    <w:multiLevelType w:val="hybridMultilevel"/>
    <w:tmpl w:val="98B0198C"/>
    <w:lvl w:ilvl="0" w:tplc="FCBC7E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2D47D6D"/>
    <w:multiLevelType w:val="hybridMultilevel"/>
    <w:tmpl w:val="291C9896"/>
    <w:lvl w:ilvl="0" w:tplc="85A0B1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59F243C"/>
    <w:multiLevelType w:val="hybridMultilevel"/>
    <w:tmpl w:val="7EE6AF56"/>
    <w:lvl w:ilvl="0" w:tplc="9944749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A2098F"/>
    <w:multiLevelType w:val="hybridMultilevel"/>
    <w:tmpl w:val="AFE8F1AC"/>
    <w:lvl w:ilvl="0" w:tplc="3F169620">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11"/>
  </w:num>
  <w:num w:numId="5">
    <w:abstractNumId w:val="3"/>
  </w:num>
  <w:num w:numId="6">
    <w:abstractNumId w:val="10"/>
  </w:num>
  <w:num w:numId="7">
    <w:abstractNumId w:val="7"/>
  </w:num>
  <w:num w:numId="8">
    <w:abstractNumId w:val="14"/>
  </w:num>
  <w:num w:numId="9">
    <w:abstractNumId w:val="9"/>
  </w:num>
  <w:num w:numId="10">
    <w:abstractNumId w:val="12"/>
  </w:num>
  <w:num w:numId="11">
    <w:abstractNumId w:val="2"/>
  </w:num>
  <w:num w:numId="12">
    <w:abstractNumId w:val="15"/>
  </w:num>
  <w:num w:numId="13">
    <w:abstractNumId w:val="8"/>
  </w:num>
  <w:num w:numId="14">
    <w:abstractNumId w:val="0"/>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5C"/>
    <w:rsid w:val="0001584F"/>
    <w:rsid w:val="00026C39"/>
    <w:rsid w:val="00033A21"/>
    <w:rsid w:val="000517A5"/>
    <w:rsid w:val="00054BA4"/>
    <w:rsid w:val="00055BEE"/>
    <w:rsid w:val="00064EBE"/>
    <w:rsid w:val="00067D22"/>
    <w:rsid w:val="000712FA"/>
    <w:rsid w:val="00081262"/>
    <w:rsid w:val="00093313"/>
    <w:rsid w:val="000B6485"/>
    <w:rsid w:val="000C150D"/>
    <w:rsid w:val="000C60E9"/>
    <w:rsid w:val="000D49A5"/>
    <w:rsid w:val="00126753"/>
    <w:rsid w:val="0013042E"/>
    <w:rsid w:val="00150884"/>
    <w:rsid w:val="001554E5"/>
    <w:rsid w:val="00155B10"/>
    <w:rsid w:val="0017026C"/>
    <w:rsid w:val="00194EAC"/>
    <w:rsid w:val="001A5196"/>
    <w:rsid w:val="001A60AD"/>
    <w:rsid w:val="00202764"/>
    <w:rsid w:val="0020779D"/>
    <w:rsid w:val="002364C1"/>
    <w:rsid w:val="0024051C"/>
    <w:rsid w:val="002838D9"/>
    <w:rsid w:val="002956D7"/>
    <w:rsid w:val="002B1888"/>
    <w:rsid w:val="00320E36"/>
    <w:rsid w:val="00331C99"/>
    <w:rsid w:val="00360640"/>
    <w:rsid w:val="003651F7"/>
    <w:rsid w:val="00372E9A"/>
    <w:rsid w:val="003C0346"/>
    <w:rsid w:val="003E2D5C"/>
    <w:rsid w:val="003E7774"/>
    <w:rsid w:val="00410D86"/>
    <w:rsid w:val="00424425"/>
    <w:rsid w:val="004330B1"/>
    <w:rsid w:val="00434F9F"/>
    <w:rsid w:val="00460538"/>
    <w:rsid w:val="00465E1F"/>
    <w:rsid w:val="00475328"/>
    <w:rsid w:val="004C201E"/>
    <w:rsid w:val="004C5F5D"/>
    <w:rsid w:val="004E50BC"/>
    <w:rsid w:val="004F152B"/>
    <w:rsid w:val="004F197F"/>
    <w:rsid w:val="004F5587"/>
    <w:rsid w:val="00515FDB"/>
    <w:rsid w:val="00531EE7"/>
    <w:rsid w:val="00533EBD"/>
    <w:rsid w:val="005408D0"/>
    <w:rsid w:val="005533C0"/>
    <w:rsid w:val="0056471D"/>
    <w:rsid w:val="005805A9"/>
    <w:rsid w:val="005B15F1"/>
    <w:rsid w:val="005C0517"/>
    <w:rsid w:val="005D6511"/>
    <w:rsid w:val="005F7E79"/>
    <w:rsid w:val="006073E2"/>
    <w:rsid w:val="00607BFC"/>
    <w:rsid w:val="00615AA6"/>
    <w:rsid w:val="00630BA4"/>
    <w:rsid w:val="00642F70"/>
    <w:rsid w:val="006566A3"/>
    <w:rsid w:val="00661E10"/>
    <w:rsid w:val="00674AD5"/>
    <w:rsid w:val="006A2DFE"/>
    <w:rsid w:val="006D50D5"/>
    <w:rsid w:val="006F5F9A"/>
    <w:rsid w:val="0070298A"/>
    <w:rsid w:val="00777804"/>
    <w:rsid w:val="007A47D8"/>
    <w:rsid w:val="007A7351"/>
    <w:rsid w:val="007B335B"/>
    <w:rsid w:val="007C1C6B"/>
    <w:rsid w:val="007C302D"/>
    <w:rsid w:val="007D0AC4"/>
    <w:rsid w:val="007D14EA"/>
    <w:rsid w:val="007E4388"/>
    <w:rsid w:val="008027AB"/>
    <w:rsid w:val="00810BEC"/>
    <w:rsid w:val="0081131F"/>
    <w:rsid w:val="0081694F"/>
    <w:rsid w:val="0082673D"/>
    <w:rsid w:val="00844FE3"/>
    <w:rsid w:val="00852A91"/>
    <w:rsid w:val="00867D92"/>
    <w:rsid w:val="00874202"/>
    <w:rsid w:val="0087520D"/>
    <w:rsid w:val="00884FC1"/>
    <w:rsid w:val="00887C70"/>
    <w:rsid w:val="008A72EE"/>
    <w:rsid w:val="008C3454"/>
    <w:rsid w:val="008F67D1"/>
    <w:rsid w:val="009131A9"/>
    <w:rsid w:val="009355A1"/>
    <w:rsid w:val="00952FF6"/>
    <w:rsid w:val="009542A8"/>
    <w:rsid w:val="00971454"/>
    <w:rsid w:val="00996C95"/>
    <w:rsid w:val="009A7E72"/>
    <w:rsid w:val="009B3A8A"/>
    <w:rsid w:val="009B750A"/>
    <w:rsid w:val="009D3C24"/>
    <w:rsid w:val="009D62C2"/>
    <w:rsid w:val="009F12E4"/>
    <w:rsid w:val="00A00879"/>
    <w:rsid w:val="00A0602E"/>
    <w:rsid w:val="00A4131B"/>
    <w:rsid w:val="00A43AFB"/>
    <w:rsid w:val="00A77843"/>
    <w:rsid w:val="00AA5AFD"/>
    <w:rsid w:val="00AA6CF4"/>
    <w:rsid w:val="00AD2BD6"/>
    <w:rsid w:val="00AD6D6A"/>
    <w:rsid w:val="00B60EAE"/>
    <w:rsid w:val="00B6451B"/>
    <w:rsid w:val="00B71E25"/>
    <w:rsid w:val="00B87833"/>
    <w:rsid w:val="00B95408"/>
    <w:rsid w:val="00BA00E7"/>
    <w:rsid w:val="00BB04E2"/>
    <w:rsid w:val="00BF024B"/>
    <w:rsid w:val="00BF3FBF"/>
    <w:rsid w:val="00BF7A5B"/>
    <w:rsid w:val="00C22EA0"/>
    <w:rsid w:val="00C268AF"/>
    <w:rsid w:val="00C30E37"/>
    <w:rsid w:val="00C336D9"/>
    <w:rsid w:val="00C7073E"/>
    <w:rsid w:val="00C97594"/>
    <w:rsid w:val="00CA5280"/>
    <w:rsid w:val="00CB0538"/>
    <w:rsid w:val="00CB4511"/>
    <w:rsid w:val="00CB4FAF"/>
    <w:rsid w:val="00CE6CDD"/>
    <w:rsid w:val="00D07CBE"/>
    <w:rsid w:val="00D17179"/>
    <w:rsid w:val="00D25CFC"/>
    <w:rsid w:val="00D322CF"/>
    <w:rsid w:val="00D5101B"/>
    <w:rsid w:val="00D561FB"/>
    <w:rsid w:val="00D57B16"/>
    <w:rsid w:val="00D6661F"/>
    <w:rsid w:val="00D86800"/>
    <w:rsid w:val="00DB1651"/>
    <w:rsid w:val="00DD186E"/>
    <w:rsid w:val="00DF40A3"/>
    <w:rsid w:val="00E17668"/>
    <w:rsid w:val="00E6175F"/>
    <w:rsid w:val="00E64EFD"/>
    <w:rsid w:val="00EB0B18"/>
    <w:rsid w:val="00ED0F76"/>
    <w:rsid w:val="00EF7CE6"/>
    <w:rsid w:val="00F1477C"/>
    <w:rsid w:val="00F23A49"/>
    <w:rsid w:val="00F45BEF"/>
    <w:rsid w:val="00F46061"/>
    <w:rsid w:val="00F535E8"/>
    <w:rsid w:val="00F54EFF"/>
    <w:rsid w:val="00F86F1A"/>
    <w:rsid w:val="00F950C7"/>
    <w:rsid w:val="00FB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F9F8D-5699-44A5-BB9E-C0C86E84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35B"/>
    <w:pPr>
      <w:ind w:left="720"/>
      <w:contextualSpacing/>
    </w:pPr>
  </w:style>
  <w:style w:type="paragraph" w:styleId="FootnoteText">
    <w:name w:val="footnote text"/>
    <w:basedOn w:val="Normal"/>
    <w:link w:val="FootnoteTextChar"/>
    <w:uiPriority w:val="99"/>
    <w:semiHidden/>
    <w:unhideWhenUsed/>
    <w:rsid w:val="00AD2B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BD6"/>
    <w:rPr>
      <w:sz w:val="20"/>
      <w:szCs w:val="20"/>
    </w:rPr>
  </w:style>
  <w:style w:type="character" w:styleId="FootnoteReference">
    <w:name w:val="footnote reference"/>
    <w:basedOn w:val="DefaultParagraphFont"/>
    <w:uiPriority w:val="99"/>
    <w:semiHidden/>
    <w:unhideWhenUsed/>
    <w:rsid w:val="00AD2BD6"/>
    <w:rPr>
      <w:vertAlign w:val="superscript"/>
    </w:rPr>
  </w:style>
  <w:style w:type="character" w:styleId="Hyperlink">
    <w:name w:val="Hyperlink"/>
    <w:basedOn w:val="DefaultParagraphFont"/>
    <w:uiPriority w:val="99"/>
    <w:semiHidden/>
    <w:unhideWhenUsed/>
    <w:rsid w:val="0024051C"/>
    <w:rPr>
      <w:strike w:val="0"/>
      <w:dstrike w:val="0"/>
      <w:color w:val="4A7BA5"/>
      <w:u w:val="none"/>
      <w:effect w:val="none"/>
      <w:shd w:val="clear" w:color="auto" w:fill="auto"/>
    </w:rPr>
  </w:style>
  <w:style w:type="paragraph" w:customStyle="1" w:styleId="paragraph">
    <w:name w:val="paragraph"/>
    <w:basedOn w:val="Normal"/>
    <w:rsid w:val="0024051C"/>
    <w:pPr>
      <w:spacing w:after="150" w:line="240" w:lineRule="auto"/>
    </w:pPr>
    <w:rPr>
      <w:rFonts w:ascii="Times New Roman" w:eastAsia="Times New Roman" w:hAnsi="Times New Roman" w:cs="Times New Roman"/>
      <w:sz w:val="24"/>
      <w:szCs w:val="24"/>
    </w:rPr>
  </w:style>
  <w:style w:type="paragraph" w:customStyle="1" w:styleId="blockquote">
    <w:name w:val="blockquote"/>
    <w:basedOn w:val="Normal"/>
    <w:rsid w:val="0024051C"/>
    <w:pPr>
      <w:spacing w:after="15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027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3A49"/>
    <w:rPr>
      <w:i/>
      <w:iCs/>
    </w:rPr>
  </w:style>
  <w:style w:type="character" w:customStyle="1" w:styleId="cosearchterm1">
    <w:name w:val="co_searchterm1"/>
    <w:basedOn w:val="DefaultParagraphFont"/>
    <w:rsid w:val="00F23A49"/>
    <w:rPr>
      <w:b/>
      <w:bCs/>
      <w:color w:val="252525"/>
    </w:rPr>
  </w:style>
  <w:style w:type="paragraph" w:styleId="BalloonText">
    <w:name w:val="Balloon Text"/>
    <w:basedOn w:val="Normal"/>
    <w:link w:val="BalloonTextChar"/>
    <w:uiPriority w:val="99"/>
    <w:semiHidden/>
    <w:unhideWhenUsed/>
    <w:rsid w:val="00884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FC1"/>
    <w:rPr>
      <w:rFonts w:ascii="Tahoma" w:hAnsi="Tahoma" w:cs="Tahoma"/>
      <w:sz w:val="16"/>
      <w:szCs w:val="16"/>
    </w:rPr>
  </w:style>
  <w:style w:type="paragraph" w:styleId="Header">
    <w:name w:val="header"/>
    <w:basedOn w:val="Normal"/>
    <w:link w:val="HeaderChar"/>
    <w:uiPriority w:val="99"/>
    <w:semiHidden/>
    <w:unhideWhenUsed/>
    <w:rsid w:val="005408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08D0"/>
  </w:style>
  <w:style w:type="paragraph" w:styleId="Footer">
    <w:name w:val="footer"/>
    <w:basedOn w:val="Normal"/>
    <w:link w:val="FooterChar"/>
    <w:uiPriority w:val="99"/>
    <w:unhideWhenUsed/>
    <w:rsid w:val="00540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33259">
      <w:bodyDiv w:val="1"/>
      <w:marLeft w:val="0"/>
      <w:marRight w:val="0"/>
      <w:marTop w:val="0"/>
      <w:marBottom w:val="0"/>
      <w:divBdr>
        <w:top w:val="none" w:sz="0" w:space="0" w:color="auto"/>
        <w:left w:val="none" w:sz="0" w:space="0" w:color="auto"/>
        <w:bottom w:val="none" w:sz="0" w:space="0" w:color="auto"/>
        <w:right w:val="none" w:sz="0" w:space="0" w:color="auto"/>
      </w:divBdr>
      <w:divsChild>
        <w:div w:id="1876041614">
          <w:marLeft w:val="0"/>
          <w:marRight w:val="0"/>
          <w:marTop w:val="0"/>
          <w:marBottom w:val="0"/>
          <w:divBdr>
            <w:top w:val="none" w:sz="0" w:space="0" w:color="auto"/>
            <w:left w:val="none" w:sz="0" w:space="0" w:color="auto"/>
            <w:bottom w:val="none" w:sz="0" w:space="0" w:color="auto"/>
            <w:right w:val="none" w:sz="0" w:space="0" w:color="auto"/>
          </w:divBdr>
          <w:divsChild>
            <w:div w:id="1100297172">
              <w:marLeft w:val="0"/>
              <w:marRight w:val="0"/>
              <w:marTop w:val="0"/>
              <w:marBottom w:val="0"/>
              <w:divBdr>
                <w:top w:val="none" w:sz="0" w:space="0" w:color="auto"/>
                <w:left w:val="none" w:sz="0" w:space="0" w:color="auto"/>
                <w:bottom w:val="none" w:sz="0" w:space="0" w:color="auto"/>
                <w:right w:val="none" w:sz="0" w:space="0" w:color="auto"/>
              </w:divBdr>
              <w:divsChild>
                <w:div w:id="1932811078">
                  <w:marLeft w:val="0"/>
                  <w:marRight w:val="0"/>
                  <w:marTop w:val="0"/>
                  <w:marBottom w:val="0"/>
                  <w:divBdr>
                    <w:top w:val="none" w:sz="0" w:space="0" w:color="auto"/>
                    <w:left w:val="none" w:sz="0" w:space="0" w:color="auto"/>
                    <w:bottom w:val="none" w:sz="0" w:space="0" w:color="auto"/>
                    <w:right w:val="none" w:sz="0" w:space="0" w:color="auto"/>
                  </w:divBdr>
                  <w:divsChild>
                    <w:div w:id="1800952241">
                      <w:marLeft w:val="0"/>
                      <w:marRight w:val="0"/>
                      <w:marTop w:val="0"/>
                      <w:marBottom w:val="0"/>
                      <w:divBdr>
                        <w:top w:val="none" w:sz="0" w:space="0" w:color="auto"/>
                        <w:left w:val="none" w:sz="0" w:space="0" w:color="auto"/>
                        <w:bottom w:val="none" w:sz="0" w:space="0" w:color="auto"/>
                        <w:right w:val="none" w:sz="0" w:space="0" w:color="auto"/>
                      </w:divBdr>
                      <w:divsChild>
                        <w:div w:id="360084174">
                          <w:marLeft w:val="0"/>
                          <w:marRight w:val="0"/>
                          <w:marTop w:val="0"/>
                          <w:marBottom w:val="0"/>
                          <w:divBdr>
                            <w:top w:val="none" w:sz="0" w:space="0" w:color="auto"/>
                            <w:left w:val="none" w:sz="0" w:space="0" w:color="auto"/>
                            <w:bottom w:val="none" w:sz="0" w:space="0" w:color="auto"/>
                            <w:right w:val="none" w:sz="0" w:space="0" w:color="auto"/>
                          </w:divBdr>
                          <w:divsChild>
                            <w:div w:id="270819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953022">
      <w:bodyDiv w:val="1"/>
      <w:marLeft w:val="0"/>
      <w:marRight w:val="0"/>
      <w:marTop w:val="0"/>
      <w:marBottom w:val="0"/>
      <w:divBdr>
        <w:top w:val="none" w:sz="0" w:space="0" w:color="auto"/>
        <w:left w:val="none" w:sz="0" w:space="0" w:color="auto"/>
        <w:bottom w:val="none" w:sz="0" w:space="0" w:color="auto"/>
        <w:right w:val="none" w:sz="0" w:space="0" w:color="auto"/>
      </w:divBdr>
      <w:divsChild>
        <w:div w:id="1576742475">
          <w:marLeft w:val="0"/>
          <w:marRight w:val="0"/>
          <w:marTop w:val="0"/>
          <w:marBottom w:val="0"/>
          <w:divBdr>
            <w:top w:val="none" w:sz="0" w:space="0" w:color="auto"/>
            <w:left w:val="none" w:sz="0" w:space="0" w:color="auto"/>
            <w:bottom w:val="none" w:sz="0" w:space="0" w:color="auto"/>
            <w:right w:val="none" w:sz="0" w:space="0" w:color="auto"/>
          </w:divBdr>
          <w:divsChild>
            <w:div w:id="1246233072">
              <w:marLeft w:val="0"/>
              <w:marRight w:val="0"/>
              <w:marTop w:val="0"/>
              <w:marBottom w:val="0"/>
              <w:divBdr>
                <w:top w:val="none" w:sz="0" w:space="0" w:color="auto"/>
                <w:left w:val="none" w:sz="0" w:space="0" w:color="auto"/>
                <w:bottom w:val="none" w:sz="0" w:space="0" w:color="auto"/>
                <w:right w:val="none" w:sz="0" w:space="0" w:color="auto"/>
              </w:divBdr>
              <w:divsChild>
                <w:div w:id="1932543840">
                  <w:marLeft w:val="0"/>
                  <w:marRight w:val="0"/>
                  <w:marTop w:val="0"/>
                  <w:marBottom w:val="0"/>
                  <w:divBdr>
                    <w:top w:val="none" w:sz="0" w:space="0" w:color="auto"/>
                    <w:left w:val="none" w:sz="0" w:space="0" w:color="auto"/>
                    <w:bottom w:val="none" w:sz="0" w:space="0" w:color="auto"/>
                    <w:right w:val="none" w:sz="0" w:space="0" w:color="auto"/>
                  </w:divBdr>
                  <w:divsChild>
                    <w:div w:id="524751893">
                      <w:marLeft w:val="0"/>
                      <w:marRight w:val="0"/>
                      <w:marTop w:val="0"/>
                      <w:marBottom w:val="0"/>
                      <w:divBdr>
                        <w:top w:val="none" w:sz="0" w:space="0" w:color="auto"/>
                        <w:left w:val="none" w:sz="0" w:space="0" w:color="auto"/>
                        <w:bottom w:val="none" w:sz="0" w:space="0" w:color="auto"/>
                        <w:right w:val="none" w:sz="0" w:space="0" w:color="auto"/>
                      </w:divBdr>
                      <w:divsChild>
                        <w:div w:id="1397431555">
                          <w:marLeft w:val="0"/>
                          <w:marRight w:val="0"/>
                          <w:marTop w:val="0"/>
                          <w:marBottom w:val="0"/>
                          <w:divBdr>
                            <w:top w:val="none" w:sz="0" w:space="0" w:color="auto"/>
                            <w:left w:val="none" w:sz="0" w:space="0" w:color="auto"/>
                            <w:bottom w:val="none" w:sz="0" w:space="0" w:color="auto"/>
                            <w:right w:val="none" w:sz="0" w:space="0" w:color="auto"/>
                          </w:divBdr>
                          <w:divsChild>
                            <w:div w:id="7030714">
                              <w:marLeft w:val="-225"/>
                              <w:marRight w:val="-225"/>
                              <w:marTop w:val="0"/>
                              <w:marBottom w:val="0"/>
                              <w:divBdr>
                                <w:top w:val="none" w:sz="0" w:space="0" w:color="auto"/>
                                <w:left w:val="none" w:sz="0" w:space="0" w:color="auto"/>
                                <w:bottom w:val="none" w:sz="0" w:space="0" w:color="auto"/>
                                <w:right w:val="none" w:sz="0" w:space="0" w:color="auto"/>
                              </w:divBdr>
                              <w:divsChild>
                                <w:div w:id="316231238">
                                  <w:marLeft w:val="0"/>
                                  <w:marRight w:val="0"/>
                                  <w:marTop w:val="0"/>
                                  <w:marBottom w:val="0"/>
                                  <w:divBdr>
                                    <w:top w:val="none" w:sz="0" w:space="0" w:color="auto"/>
                                    <w:left w:val="none" w:sz="0" w:space="0" w:color="auto"/>
                                    <w:bottom w:val="none" w:sz="0" w:space="0" w:color="auto"/>
                                    <w:right w:val="single" w:sz="6" w:space="0" w:color="DDDDDD"/>
                                  </w:divBdr>
                                  <w:divsChild>
                                    <w:div w:id="1973317430">
                                      <w:marLeft w:val="0"/>
                                      <w:marRight w:val="0"/>
                                      <w:marTop w:val="0"/>
                                      <w:marBottom w:val="0"/>
                                      <w:divBdr>
                                        <w:top w:val="none" w:sz="0" w:space="0" w:color="auto"/>
                                        <w:left w:val="none" w:sz="0" w:space="0" w:color="auto"/>
                                        <w:bottom w:val="none" w:sz="0" w:space="0" w:color="auto"/>
                                        <w:right w:val="none" w:sz="0" w:space="0" w:color="auto"/>
                                      </w:divBdr>
                                      <w:divsChild>
                                        <w:div w:id="1198011886">
                                          <w:marLeft w:val="0"/>
                                          <w:marRight w:val="0"/>
                                          <w:marTop w:val="0"/>
                                          <w:marBottom w:val="0"/>
                                          <w:divBdr>
                                            <w:top w:val="none" w:sz="0" w:space="0" w:color="auto"/>
                                            <w:left w:val="none" w:sz="0" w:space="0" w:color="auto"/>
                                            <w:bottom w:val="none" w:sz="0" w:space="0" w:color="auto"/>
                                            <w:right w:val="none" w:sz="0" w:space="0" w:color="auto"/>
                                          </w:divBdr>
                                          <w:divsChild>
                                            <w:div w:id="451092427">
                                              <w:blockQuote w:val="1"/>
                                              <w:marLeft w:val="0"/>
                                              <w:marRight w:val="0"/>
                                              <w:marTop w:val="0"/>
                                              <w:marBottom w:val="300"/>
                                              <w:divBdr>
                                                <w:top w:val="none" w:sz="0" w:space="0" w:color="auto"/>
                                                <w:left w:val="single" w:sz="36" w:space="15" w:color="EEEEEE"/>
                                                <w:bottom w:val="none" w:sz="0" w:space="0" w:color="auto"/>
                                                <w:right w:val="none" w:sz="0" w:space="0" w:color="auto"/>
                                              </w:divBdr>
                                            </w:div>
                                            <w:div w:id="1189877233">
                                              <w:blockQuote w:val="1"/>
                                              <w:marLeft w:val="0"/>
                                              <w:marRight w:val="0"/>
                                              <w:marTop w:val="0"/>
                                              <w:marBottom w:val="300"/>
                                              <w:divBdr>
                                                <w:top w:val="none" w:sz="0" w:space="0" w:color="auto"/>
                                                <w:left w:val="single" w:sz="36" w:space="15" w:color="EEEEEE"/>
                                                <w:bottom w:val="none" w:sz="0" w:space="0" w:color="auto"/>
                                                <w:right w:val="none" w:sz="0" w:space="0" w:color="auto"/>
                                              </w:divBdr>
                                            </w:div>
                                            <w:div w:id="114851883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654182499">
      <w:bodyDiv w:val="1"/>
      <w:marLeft w:val="0"/>
      <w:marRight w:val="0"/>
      <w:marTop w:val="0"/>
      <w:marBottom w:val="0"/>
      <w:divBdr>
        <w:top w:val="none" w:sz="0" w:space="0" w:color="auto"/>
        <w:left w:val="none" w:sz="0" w:space="0" w:color="auto"/>
        <w:bottom w:val="none" w:sz="0" w:space="0" w:color="auto"/>
        <w:right w:val="none" w:sz="0" w:space="0" w:color="auto"/>
      </w:divBdr>
    </w:div>
    <w:div w:id="930164231">
      <w:bodyDiv w:val="1"/>
      <w:marLeft w:val="0"/>
      <w:marRight w:val="0"/>
      <w:marTop w:val="0"/>
      <w:marBottom w:val="0"/>
      <w:divBdr>
        <w:top w:val="none" w:sz="0" w:space="0" w:color="auto"/>
        <w:left w:val="none" w:sz="0" w:space="0" w:color="auto"/>
        <w:bottom w:val="none" w:sz="0" w:space="0" w:color="auto"/>
        <w:right w:val="none" w:sz="0" w:space="0" w:color="auto"/>
      </w:divBdr>
      <w:divsChild>
        <w:div w:id="544298168">
          <w:marLeft w:val="0"/>
          <w:marRight w:val="0"/>
          <w:marTop w:val="0"/>
          <w:marBottom w:val="0"/>
          <w:divBdr>
            <w:top w:val="none" w:sz="0" w:space="0" w:color="auto"/>
            <w:left w:val="none" w:sz="0" w:space="0" w:color="auto"/>
            <w:bottom w:val="none" w:sz="0" w:space="0" w:color="auto"/>
            <w:right w:val="none" w:sz="0" w:space="0" w:color="auto"/>
          </w:divBdr>
          <w:divsChild>
            <w:div w:id="293221097">
              <w:marLeft w:val="0"/>
              <w:marRight w:val="0"/>
              <w:marTop w:val="0"/>
              <w:marBottom w:val="0"/>
              <w:divBdr>
                <w:top w:val="none" w:sz="0" w:space="0" w:color="auto"/>
                <w:left w:val="none" w:sz="0" w:space="0" w:color="auto"/>
                <w:bottom w:val="none" w:sz="0" w:space="0" w:color="auto"/>
                <w:right w:val="none" w:sz="0" w:space="0" w:color="auto"/>
              </w:divBdr>
              <w:divsChild>
                <w:div w:id="141702024">
                  <w:marLeft w:val="0"/>
                  <w:marRight w:val="0"/>
                  <w:marTop w:val="0"/>
                  <w:marBottom w:val="0"/>
                  <w:divBdr>
                    <w:top w:val="none" w:sz="0" w:space="0" w:color="auto"/>
                    <w:left w:val="none" w:sz="0" w:space="0" w:color="auto"/>
                    <w:bottom w:val="none" w:sz="0" w:space="0" w:color="auto"/>
                    <w:right w:val="none" w:sz="0" w:space="0" w:color="auto"/>
                  </w:divBdr>
                  <w:divsChild>
                    <w:div w:id="4426964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64732430">
      <w:bodyDiv w:val="1"/>
      <w:marLeft w:val="0"/>
      <w:marRight w:val="0"/>
      <w:marTop w:val="0"/>
      <w:marBottom w:val="0"/>
      <w:divBdr>
        <w:top w:val="none" w:sz="0" w:space="0" w:color="auto"/>
        <w:left w:val="none" w:sz="0" w:space="0" w:color="auto"/>
        <w:bottom w:val="none" w:sz="0" w:space="0" w:color="auto"/>
        <w:right w:val="none" w:sz="0" w:space="0" w:color="auto"/>
      </w:divBdr>
      <w:divsChild>
        <w:div w:id="124547743">
          <w:marLeft w:val="0"/>
          <w:marRight w:val="0"/>
          <w:marTop w:val="0"/>
          <w:marBottom w:val="0"/>
          <w:divBdr>
            <w:top w:val="none" w:sz="0" w:space="0" w:color="auto"/>
            <w:left w:val="none" w:sz="0" w:space="0" w:color="auto"/>
            <w:bottom w:val="none" w:sz="0" w:space="0" w:color="auto"/>
            <w:right w:val="none" w:sz="0" w:space="0" w:color="auto"/>
          </w:divBdr>
          <w:divsChild>
            <w:div w:id="390233527">
              <w:marLeft w:val="0"/>
              <w:marRight w:val="0"/>
              <w:marTop w:val="0"/>
              <w:marBottom w:val="0"/>
              <w:divBdr>
                <w:top w:val="none" w:sz="0" w:space="0" w:color="auto"/>
                <w:left w:val="none" w:sz="0" w:space="0" w:color="auto"/>
                <w:bottom w:val="none" w:sz="0" w:space="0" w:color="auto"/>
                <w:right w:val="none" w:sz="0" w:space="0" w:color="auto"/>
              </w:divBdr>
              <w:divsChild>
                <w:div w:id="1721175048">
                  <w:marLeft w:val="0"/>
                  <w:marRight w:val="0"/>
                  <w:marTop w:val="0"/>
                  <w:marBottom w:val="0"/>
                  <w:divBdr>
                    <w:top w:val="none" w:sz="0" w:space="0" w:color="auto"/>
                    <w:left w:val="none" w:sz="0" w:space="0" w:color="auto"/>
                    <w:bottom w:val="none" w:sz="0" w:space="0" w:color="auto"/>
                    <w:right w:val="none" w:sz="0" w:space="0" w:color="auto"/>
                  </w:divBdr>
                  <w:divsChild>
                    <w:div w:id="15908896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564214506">
      <w:bodyDiv w:val="1"/>
      <w:marLeft w:val="0"/>
      <w:marRight w:val="0"/>
      <w:marTop w:val="0"/>
      <w:marBottom w:val="0"/>
      <w:divBdr>
        <w:top w:val="none" w:sz="0" w:space="0" w:color="auto"/>
        <w:left w:val="none" w:sz="0" w:space="0" w:color="auto"/>
        <w:bottom w:val="none" w:sz="0" w:space="0" w:color="auto"/>
        <w:right w:val="none" w:sz="0" w:space="0" w:color="auto"/>
      </w:divBdr>
      <w:divsChild>
        <w:div w:id="941303062">
          <w:marLeft w:val="0"/>
          <w:marRight w:val="0"/>
          <w:marTop w:val="0"/>
          <w:marBottom w:val="0"/>
          <w:divBdr>
            <w:top w:val="none" w:sz="0" w:space="0" w:color="auto"/>
            <w:left w:val="none" w:sz="0" w:space="0" w:color="auto"/>
            <w:bottom w:val="none" w:sz="0" w:space="0" w:color="auto"/>
            <w:right w:val="none" w:sz="0" w:space="0" w:color="auto"/>
          </w:divBdr>
          <w:divsChild>
            <w:div w:id="1662269008">
              <w:marLeft w:val="0"/>
              <w:marRight w:val="0"/>
              <w:marTop w:val="0"/>
              <w:marBottom w:val="0"/>
              <w:divBdr>
                <w:top w:val="none" w:sz="0" w:space="0" w:color="auto"/>
                <w:left w:val="none" w:sz="0" w:space="0" w:color="auto"/>
                <w:bottom w:val="none" w:sz="0" w:space="0" w:color="auto"/>
                <w:right w:val="none" w:sz="0" w:space="0" w:color="auto"/>
              </w:divBdr>
              <w:divsChild>
                <w:div w:id="1189950854">
                  <w:marLeft w:val="0"/>
                  <w:marRight w:val="0"/>
                  <w:marTop w:val="0"/>
                  <w:marBottom w:val="0"/>
                  <w:divBdr>
                    <w:top w:val="none" w:sz="0" w:space="0" w:color="auto"/>
                    <w:left w:val="none" w:sz="0" w:space="0" w:color="auto"/>
                    <w:bottom w:val="none" w:sz="0" w:space="0" w:color="auto"/>
                    <w:right w:val="none" w:sz="0" w:space="0" w:color="auto"/>
                  </w:divBdr>
                  <w:divsChild>
                    <w:div w:id="2479286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777869678">
      <w:bodyDiv w:val="1"/>
      <w:marLeft w:val="0"/>
      <w:marRight w:val="0"/>
      <w:marTop w:val="0"/>
      <w:marBottom w:val="0"/>
      <w:divBdr>
        <w:top w:val="none" w:sz="0" w:space="0" w:color="auto"/>
        <w:left w:val="none" w:sz="0" w:space="0" w:color="auto"/>
        <w:bottom w:val="none" w:sz="0" w:space="0" w:color="auto"/>
        <w:right w:val="none" w:sz="0" w:space="0" w:color="auto"/>
      </w:divBdr>
      <w:divsChild>
        <w:div w:id="1880701548">
          <w:marLeft w:val="0"/>
          <w:marRight w:val="0"/>
          <w:marTop w:val="0"/>
          <w:marBottom w:val="0"/>
          <w:divBdr>
            <w:top w:val="none" w:sz="0" w:space="0" w:color="auto"/>
            <w:left w:val="none" w:sz="0" w:space="0" w:color="auto"/>
            <w:bottom w:val="none" w:sz="0" w:space="0" w:color="auto"/>
            <w:right w:val="none" w:sz="0" w:space="0" w:color="auto"/>
          </w:divBdr>
          <w:divsChild>
            <w:div w:id="1362585780">
              <w:marLeft w:val="0"/>
              <w:marRight w:val="0"/>
              <w:marTop w:val="0"/>
              <w:marBottom w:val="0"/>
              <w:divBdr>
                <w:top w:val="none" w:sz="0" w:space="0" w:color="auto"/>
                <w:left w:val="none" w:sz="0" w:space="0" w:color="auto"/>
                <w:bottom w:val="none" w:sz="0" w:space="0" w:color="auto"/>
                <w:right w:val="none" w:sz="0" w:space="0" w:color="auto"/>
              </w:divBdr>
              <w:divsChild>
                <w:div w:id="830145074">
                  <w:marLeft w:val="0"/>
                  <w:marRight w:val="0"/>
                  <w:marTop w:val="0"/>
                  <w:marBottom w:val="0"/>
                  <w:divBdr>
                    <w:top w:val="none" w:sz="0" w:space="0" w:color="auto"/>
                    <w:left w:val="none" w:sz="0" w:space="0" w:color="auto"/>
                    <w:bottom w:val="none" w:sz="0" w:space="0" w:color="auto"/>
                    <w:right w:val="none" w:sz="0" w:space="0" w:color="auto"/>
                  </w:divBdr>
                  <w:divsChild>
                    <w:div w:id="2035880952">
                      <w:marLeft w:val="0"/>
                      <w:marRight w:val="0"/>
                      <w:marTop w:val="0"/>
                      <w:marBottom w:val="0"/>
                      <w:divBdr>
                        <w:top w:val="none" w:sz="0" w:space="0" w:color="auto"/>
                        <w:left w:val="none" w:sz="0" w:space="0" w:color="auto"/>
                        <w:bottom w:val="none" w:sz="0" w:space="0" w:color="auto"/>
                        <w:right w:val="none" w:sz="0" w:space="0" w:color="auto"/>
                      </w:divBdr>
                      <w:divsChild>
                        <w:div w:id="418209989">
                          <w:marLeft w:val="0"/>
                          <w:marRight w:val="0"/>
                          <w:marTop w:val="0"/>
                          <w:marBottom w:val="0"/>
                          <w:divBdr>
                            <w:top w:val="none" w:sz="0" w:space="0" w:color="auto"/>
                            <w:left w:val="none" w:sz="0" w:space="0" w:color="auto"/>
                            <w:bottom w:val="none" w:sz="0" w:space="0" w:color="auto"/>
                            <w:right w:val="none" w:sz="0" w:space="0" w:color="auto"/>
                          </w:divBdr>
                          <w:divsChild>
                            <w:div w:id="1287546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11634">
      <w:bodyDiv w:val="1"/>
      <w:marLeft w:val="0"/>
      <w:marRight w:val="0"/>
      <w:marTop w:val="0"/>
      <w:marBottom w:val="0"/>
      <w:divBdr>
        <w:top w:val="none" w:sz="0" w:space="0" w:color="auto"/>
        <w:left w:val="none" w:sz="0" w:space="0" w:color="auto"/>
        <w:bottom w:val="none" w:sz="0" w:space="0" w:color="auto"/>
        <w:right w:val="none" w:sz="0" w:space="0" w:color="auto"/>
      </w:divBdr>
      <w:divsChild>
        <w:div w:id="1325890812">
          <w:marLeft w:val="0"/>
          <w:marRight w:val="0"/>
          <w:marTop w:val="0"/>
          <w:marBottom w:val="0"/>
          <w:divBdr>
            <w:top w:val="none" w:sz="0" w:space="0" w:color="auto"/>
            <w:left w:val="none" w:sz="0" w:space="0" w:color="auto"/>
            <w:bottom w:val="none" w:sz="0" w:space="0" w:color="auto"/>
            <w:right w:val="none" w:sz="0" w:space="0" w:color="auto"/>
          </w:divBdr>
          <w:divsChild>
            <w:div w:id="2050566172">
              <w:marLeft w:val="0"/>
              <w:marRight w:val="0"/>
              <w:marTop w:val="0"/>
              <w:marBottom w:val="0"/>
              <w:divBdr>
                <w:top w:val="none" w:sz="0" w:space="0" w:color="auto"/>
                <w:left w:val="none" w:sz="0" w:space="0" w:color="auto"/>
                <w:bottom w:val="none" w:sz="0" w:space="0" w:color="auto"/>
                <w:right w:val="none" w:sz="0" w:space="0" w:color="auto"/>
              </w:divBdr>
              <w:divsChild>
                <w:div w:id="122507329">
                  <w:marLeft w:val="0"/>
                  <w:marRight w:val="0"/>
                  <w:marTop w:val="0"/>
                  <w:marBottom w:val="0"/>
                  <w:divBdr>
                    <w:top w:val="single" w:sz="6" w:space="10" w:color="CACACA"/>
                    <w:left w:val="single" w:sz="6" w:space="31" w:color="CACACA"/>
                    <w:bottom w:val="single" w:sz="6" w:space="10" w:color="CACACA"/>
                    <w:right w:val="single" w:sz="6" w:space="31" w:color="CACACA"/>
                  </w:divBdr>
                  <w:divsChild>
                    <w:div w:id="1796682385">
                      <w:marLeft w:val="0"/>
                      <w:marRight w:val="0"/>
                      <w:marTop w:val="0"/>
                      <w:marBottom w:val="0"/>
                      <w:divBdr>
                        <w:top w:val="none" w:sz="0" w:space="0" w:color="auto"/>
                        <w:left w:val="none" w:sz="0" w:space="0" w:color="auto"/>
                        <w:bottom w:val="none" w:sz="0" w:space="0" w:color="auto"/>
                        <w:right w:val="none" w:sz="0" w:space="0" w:color="auto"/>
                      </w:divBdr>
                      <w:divsChild>
                        <w:div w:id="461266572">
                          <w:blockQuote w:val="1"/>
                          <w:marLeft w:val="0"/>
                          <w:marRight w:val="0"/>
                          <w:marTop w:val="240"/>
                          <w:marBottom w:val="240"/>
                          <w:divBdr>
                            <w:top w:val="none" w:sz="0" w:space="0" w:color="auto"/>
                            <w:left w:val="none" w:sz="0" w:space="0" w:color="auto"/>
                            <w:bottom w:val="none" w:sz="0" w:space="0" w:color="auto"/>
                            <w:right w:val="none" w:sz="0" w:space="0" w:color="auto"/>
                          </w:divBdr>
                        </w:div>
                        <w:div w:id="1280144147">
                          <w:blockQuote w:val="1"/>
                          <w:marLeft w:val="0"/>
                          <w:marRight w:val="0"/>
                          <w:marTop w:val="240"/>
                          <w:marBottom w:val="240"/>
                          <w:divBdr>
                            <w:top w:val="none" w:sz="0" w:space="0" w:color="auto"/>
                            <w:left w:val="none" w:sz="0" w:space="0" w:color="auto"/>
                            <w:bottom w:val="none" w:sz="0" w:space="0" w:color="auto"/>
                            <w:right w:val="none" w:sz="0" w:space="0" w:color="auto"/>
                          </w:divBdr>
                        </w:div>
                        <w:div w:id="1204438919">
                          <w:blockQuote w:val="1"/>
                          <w:marLeft w:val="0"/>
                          <w:marRight w:val="0"/>
                          <w:marTop w:val="240"/>
                          <w:marBottom w:val="240"/>
                          <w:divBdr>
                            <w:top w:val="none" w:sz="0" w:space="0" w:color="auto"/>
                            <w:left w:val="none" w:sz="0" w:space="0" w:color="auto"/>
                            <w:bottom w:val="none" w:sz="0" w:space="0" w:color="auto"/>
                            <w:right w:val="none" w:sz="0" w:space="0" w:color="auto"/>
                          </w:divBdr>
                        </w:div>
                        <w:div w:id="380590893">
                          <w:blockQuote w:val="1"/>
                          <w:marLeft w:val="0"/>
                          <w:marRight w:val="0"/>
                          <w:marTop w:val="240"/>
                          <w:marBottom w:val="240"/>
                          <w:divBdr>
                            <w:top w:val="none" w:sz="0" w:space="0" w:color="auto"/>
                            <w:left w:val="none" w:sz="0" w:space="0" w:color="auto"/>
                            <w:bottom w:val="none" w:sz="0" w:space="0" w:color="auto"/>
                            <w:right w:val="none" w:sz="0" w:space="0" w:color="auto"/>
                          </w:divBdr>
                        </w:div>
                        <w:div w:id="18355325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38362784">
      <w:bodyDiv w:val="1"/>
      <w:marLeft w:val="0"/>
      <w:marRight w:val="0"/>
      <w:marTop w:val="0"/>
      <w:marBottom w:val="0"/>
      <w:divBdr>
        <w:top w:val="none" w:sz="0" w:space="0" w:color="auto"/>
        <w:left w:val="none" w:sz="0" w:space="0" w:color="auto"/>
        <w:bottom w:val="none" w:sz="0" w:space="0" w:color="auto"/>
        <w:right w:val="none" w:sz="0" w:space="0" w:color="auto"/>
      </w:divBdr>
      <w:divsChild>
        <w:div w:id="1594316902">
          <w:marLeft w:val="0"/>
          <w:marRight w:val="0"/>
          <w:marTop w:val="0"/>
          <w:marBottom w:val="0"/>
          <w:divBdr>
            <w:top w:val="none" w:sz="0" w:space="0" w:color="auto"/>
            <w:left w:val="none" w:sz="0" w:space="0" w:color="auto"/>
            <w:bottom w:val="none" w:sz="0" w:space="0" w:color="auto"/>
            <w:right w:val="none" w:sz="0" w:space="0" w:color="auto"/>
          </w:divBdr>
          <w:divsChild>
            <w:div w:id="1586038610">
              <w:marLeft w:val="0"/>
              <w:marRight w:val="0"/>
              <w:marTop w:val="0"/>
              <w:marBottom w:val="0"/>
              <w:divBdr>
                <w:top w:val="none" w:sz="0" w:space="0" w:color="auto"/>
                <w:left w:val="none" w:sz="0" w:space="0" w:color="auto"/>
                <w:bottom w:val="none" w:sz="0" w:space="0" w:color="auto"/>
                <w:right w:val="none" w:sz="0" w:space="0" w:color="auto"/>
              </w:divBdr>
              <w:divsChild>
                <w:div w:id="558175576">
                  <w:marLeft w:val="0"/>
                  <w:marRight w:val="0"/>
                  <w:marTop w:val="0"/>
                  <w:marBottom w:val="0"/>
                  <w:divBdr>
                    <w:top w:val="none" w:sz="0" w:space="0" w:color="auto"/>
                    <w:left w:val="none" w:sz="0" w:space="0" w:color="auto"/>
                    <w:bottom w:val="none" w:sz="0" w:space="0" w:color="auto"/>
                    <w:right w:val="none" w:sz="0" w:space="0" w:color="auto"/>
                  </w:divBdr>
                  <w:divsChild>
                    <w:div w:id="1631203342">
                      <w:marLeft w:val="0"/>
                      <w:marRight w:val="0"/>
                      <w:marTop w:val="0"/>
                      <w:marBottom w:val="0"/>
                      <w:divBdr>
                        <w:top w:val="none" w:sz="0" w:space="0" w:color="auto"/>
                        <w:left w:val="none" w:sz="0" w:space="0" w:color="auto"/>
                        <w:bottom w:val="none" w:sz="0" w:space="0" w:color="auto"/>
                        <w:right w:val="none" w:sz="0" w:space="0" w:color="auto"/>
                      </w:divBdr>
                      <w:divsChild>
                        <w:div w:id="1529677376">
                          <w:marLeft w:val="0"/>
                          <w:marRight w:val="0"/>
                          <w:marTop w:val="0"/>
                          <w:marBottom w:val="0"/>
                          <w:divBdr>
                            <w:top w:val="none" w:sz="0" w:space="0" w:color="auto"/>
                            <w:left w:val="none" w:sz="0" w:space="0" w:color="auto"/>
                            <w:bottom w:val="none" w:sz="0" w:space="0" w:color="auto"/>
                            <w:right w:val="none" w:sz="0" w:space="0" w:color="auto"/>
                          </w:divBdr>
                          <w:divsChild>
                            <w:div w:id="1516847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ext.westlaw.com/Link/Document/FullText?findType=Y&amp;serNum=2005844722&amp;pubNum=595&amp;originatingDoc=Iad91a540d14b11dfb5fdfcf739be147c&amp;refType=RP&amp;fi=co_pp_sp_595_386&amp;originationContext=document&amp;transitionType=DocumentItem&amp;contextData=(sc.DocLink)" TargetMode="External"/><Relationship Id="rId13" Type="http://schemas.openxmlformats.org/officeDocument/2006/relationships/hyperlink" Target="https://casetext.com/case/kaiser-v-northern-states-power-co?page=9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etext.com/case/anderson-v-commissioner-of-taxation?page=5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etext.com/case/anderson-v-commissioner-of-taxation?page=50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next.westlaw.com/Link/Document/FullText?findType=Y&amp;pubNum=999&amp;cite=2004WESTLAW234408&amp;originatingDoc=I82688a5a2ed211da9bcc85e7f8e2f4cd&amp;refType=RP&amp;originationContext=document&amp;transitionType=DocumentItem&amp;contextData=(sc.Keycite)" TargetMode="External"/><Relationship Id="rId4" Type="http://schemas.openxmlformats.org/officeDocument/2006/relationships/settings" Target="settings.xml"/><Relationship Id="rId9" Type="http://schemas.openxmlformats.org/officeDocument/2006/relationships/hyperlink" Target="https://a.next.westlaw.com/Link/Document/FullText?findType=Y&amp;serNum=1984105973&amp;pubNum=595&amp;originatingDoc=I82688a5a2ed211da9bcc85e7f8e2f4cd&amp;refType=RP&amp;fi=co_pp_sp_595_604&amp;originationContext=document&amp;transitionType=DocumentItem&amp;contextData=(sc.Keycite)" TargetMode="External"/><Relationship Id="rId14" Type="http://schemas.openxmlformats.org/officeDocument/2006/relationships/hyperlink" Target="https://ecf.mnd.uscourts.gov/doc1/101156735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5AD03-7682-4D57-A6EF-DAE390BB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4451</Words>
  <Characters>25374</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Fredrickson</dc:creator>
  <cp:keywords/>
  <dc:description/>
  <cp:lastModifiedBy>Mark Fredrickson</cp:lastModifiedBy>
  <cp:revision>2</cp:revision>
  <cp:lastPrinted>2015-05-18T18:26:00Z</cp:lastPrinted>
  <dcterms:created xsi:type="dcterms:W3CDTF">2015-08-10T15:19:00Z</dcterms:created>
  <dcterms:modified xsi:type="dcterms:W3CDTF">2015-08-10T15:19:00Z</dcterms:modified>
</cp:coreProperties>
</file>